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pPr>
      <w:r>
        <w:drawing>
          <wp:inline distT="0" distB="0" distL="0" distR="0">
            <wp:extent cx="2438400" cy="225742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5"/>
                    <a:srcRect/>
                    <a:stretch>
                      <a:fillRect/>
                    </a:stretch>
                  </pic:blipFill>
                  <pic:spPr>
                    <a:xfrm>
                      <a:off x="0" y="0"/>
                      <a:ext cx="2438400" cy="2257425"/>
                    </a:xfrm>
                    <a:prstGeom prst="rect">
                      <a:avLst/>
                    </a:prstGeom>
                    <a:noFill/>
                    <a:ln w="9525">
                      <a:noFill/>
                      <a:miter lim="800000"/>
                      <a:headEnd/>
                      <a:tailEnd/>
                    </a:ln>
                  </pic:spPr>
                </pic:pic>
              </a:graphicData>
            </a:graphic>
          </wp:inline>
        </w:drawing>
      </w:r>
    </w:p>
    <w:p>
      <w:pPr>
        <w:jc w:val="center"/>
      </w:pPr>
    </w:p>
    <w:p>
      <w:pPr>
        <w:jc w:val="center"/>
        <w:rPr>
          <w:sz w:val="28"/>
          <w:szCs w:val="28"/>
        </w:rPr>
      </w:pPr>
      <w:r>
        <w:rPr>
          <w:rFonts w:hint="eastAsia" w:hAnsi="宋体"/>
          <w:sz w:val="28"/>
          <w:szCs w:val="28"/>
        </w:rPr>
        <w:t>清华大学公共管理学院</w:t>
      </w:r>
    </w:p>
    <w:p>
      <w:pPr>
        <w:jc w:val="center"/>
        <w:rPr>
          <w:sz w:val="28"/>
          <w:szCs w:val="28"/>
        </w:rPr>
      </w:pPr>
      <w:r>
        <w:rPr>
          <w:rFonts w:hint="eastAsia" w:hAnsi="宋体"/>
          <w:sz w:val="28"/>
          <w:szCs w:val="28"/>
        </w:rPr>
        <w:t>国际发展与治理硕士（</w:t>
      </w:r>
      <w:r>
        <w:rPr>
          <w:rFonts w:hint="eastAsia"/>
          <w:sz w:val="28"/>
          <w:szCs w:val="28"/>
        </w:rPr>
        <w:t>MIDG</w:t>
      </w:r>
      <w:r>
        <w:rPr>
          <w:rFonts w:hint="eastAsia" w:hAnsi="宋体"/>
          <w:sz w:val="28"/>
          <w:szCs w:val="28"/>
        </w:rPr>
        <w:t>）项目</w:t>
      </w:r>
    </w:p>
    <w:p>
      <w:pPr>
        <w:jc w:val="center"/>
        <w:rPr>
          <w:sz w:val="28"/>
          <w:szCs w:val="28"/>
        </w:rPr>
      </w:pPr>
      <w:r>
        <w:rPr>
          <w:sz w:val="28"/>
          <w:szCs w:val="28"/>
        </w:rPr>
        <w:t>201</w:t>
      </w:r>
      <w:r>
        <w:rPr>
          <w:rFonts w:hint="eastAsia"/>
          <w:sz w:val="28"/>
          <w:szCs w:val="28"/>
        </w:rPr>
        <w:t>6</w:t>
      </w:r>
      <w:r>
        <w:rPr>
          <w:rFonts w:hint="eastAsia" w:hAnsi="宋体"/>
          <w:sz w:val="28"/>
          <w:szCs w:val="28"/>
        </w:rPr>
        <w:t>年招生简章</w:t>
      </w:r>
    </w:p>
    <w:p>
      <w:pPr>
        <w:jc w:val="center"/>
        <w:rPr>
          <w:sz w:val="28"/>
          <w:szCs w:val="28"/>
        </w:rPr>
      </w:pPr>
    </w:p>
    <w:p>
      <w:pPr>
        <w:rPr>
          <w:sz w:val="28"/>
          <w:szCs w:val="28"/>
        </w:rPr>
      </w:pPr>
      <w:r>
        <w:rPr>
          <w:rFonts w:hint="eastAsia" w:hAnsi="宋体"/>
          <w:sz w:val="28"/>
          <w:szCs w:val="28"/>
        </w:rPr>
        <w:t>一、清华大学、公共管理学院及项目介绍</w:t>
      </w:r>
    </w:p>
    <w:p>
      <w:pPr>
        <w:rPr>
          <w:sz w:val="28"/>
          <w:szCs w:val="28"/>
        </w:rPr>
      </w:pPr>
    </w:p>
    <w:p>
      <w:pPr>
        <w:rPr>
          <w:sz w:val="28"/>
          <w:szCs w:val="28"/>
        </w:rPr>
      </w:pPr>
      <w:r>
        <w:rPr>
          <w:rFonts w:hint="eastAsia" w:hAnsi="宋体"/>
          <w:sz w:val="28"/>
          <w:szCs w:val="28"/>
        </w:rPr>
        <w:t>二、课程大纲</w:t>
      </w:r>
    </w:p>
    <w:p>
      <w:pPr>
        <w:rPr>
          <w:sz w:val="28"/>
          <w:szCs w:val="28"/>
        </w:rPr>
      </w:pPr>
    </w:p>
    <w:p>
      <w:pPr>
        <w:rPr>
          <w:sz w:val="28"/>
          <w:szCs w:val="28"/>
        </w:rPr>
      </w:pPr>
      <w:r>
        <w:rPr>
          <w:rFonts w:hint="eastAsia" w:hAnsi="宋体"/>
          <w:sz w:val="28"/>
          <w:szCs w:val="28"/>
        </w:rPr>
        <w:t>三、课程介绍（中文翻译略）</w:t>
      </w:r>
    </w:p>
    <w:p>
      <w:pPr>
        <w:rPr>
          <w:sz w:val="28"/>
          <w:szCs w:val="28"/>
        </w:rPr>
      </w:pPr>
    </w:p>
    <w:p>
      <w:pPr>
        <w:rPr>
          <w:sz w:val="28"/>
          <w:szCs w:val="28"/>
        </w:rPr>
      </w:pPr>
      <w:r>
        <w:rPr>
          <w:rFonts w:hint="eastAsia" w:hAnsi="宋体"/>
          <w:sz w:val="28"/>
          <w:szCs w:val="28"/>
        </w:rPr>
        <w:t>四、现任教师（中文翻译略）</w:t>
      </w:r>
    </w:p>
    <w:p>
      <w:pPr>
        <w:rPr>
          <w:sz w:val="28"/>
          <w:szCs w:val="28"/>
        </w:rPr>
      </w:pPr>
    </w:p>
    <w:p>
      <w:pPr>
        <w:rPr>
          <w:sz w:val="28"/>
          <w:szCs w:val="28"/>
        </w:rPr>
      </w:pPr>
      <w:r>
        <w:rPr>
          <w:rFonts w:hint="eastAsia" w:hAnsi="宋体"/>
          <w:sz w:val="28"/>
          <w:szCs w:val="28"/>
        </w:rPr>
        <w:t>五、录取信息</w:t>
      </w:r>
    </w:p>
    <w:p>
      <w:pPr/>
    </w:p>
    <w:p>
      <w:pPr/>
    </w:p>
    <w:p>
      <w:pPr/>
    </w:p>
    <w:p>
      <w:pPr/>
    </w:p>
    <w:p>
      <w:pPr/>
    </w:p>
    <w:p>
      <w:pPr>
        <w:pStyle w:val="42"/>
        <w:numPr>
          <w:ilvl w:val="0"/>
          <w:numId w:val="1"/>
        </w:numPr>
        <w:ind w:firstLineChars="0"/>
        <w:rPr>
          <w:rFonts w:hAnsi="宋体"/>
          <w:sz w:val="28"/>
          <w:szCs w:val="28"/>
        </w:rPr>
      </w:pPr>
      <w:r>
        <w:rPr>
          <w:rFonts w:hint="eastAsia" w:hAnsi="宋体"/>
          <w:sz w:val="28"/>
          <w:szCs w:val="28"/>
        </w:rPr>
        <w:t>简介</w:t>
      </w:r>
    </w:p>
    <w:p>
      <w:pPr>
        <w:pStyle w:val="42"/>
        <w:ind w:left="480" w:firstLine="0" w:firstLineChars="0"/>
        <w:rPr>
          <w:b/>
          <w:sz w:val="24"/>
          <w:szCs w:val="24"/>
        </w:rPr>
      </w:pPr>
    </w:p>
    <w:p>
      <w:pPr>
        <w:pStyle w:val="10"/>
        <w:adjustRightInd w:val="0"/>
        <w:snapToGrid w:val="0"/>
        <w:spacing w:line="300" w:lineRule="auto"/>
        <w:rPr>
          <w:rFonts w:ascii="Times New Roman" w:hAnsi="Times New Roman"/>
          <w:b/>
          <w:bCs/>
          <w:sz w:val="24"/>
          <w:szCs w:val="24"/>
        </w:rPr>
      </w:pPr>
      <w:bookmarkStart w:id="0" w:name="OLE_LINK1"/>
      <w:bookmarkStart w:id="1" w:name="OLE_LINK2"/>
      <w:r>
        <w:rPr>
          <w:rFonts w:hint="eastAsia" w:hAnsi="宋体"/>
          <w:b/>
          <w:sz w:val="24"/>
          <w:szCs w:val="24"/>
        </w:rPr>
        <w:t>清华大学</w:t>
      </w:r>
    </w:p>
    <w:p>
      <w:pPr>
        <w:spacing w:line="360" w:lineRule="auto"/>
        <w:ind w:firstLine="480" w:firstLineChars="200"/>
        <w:rPr>
          <w:sz w:val="24"/>
        </w:rPr>
      </w:pPr>
      <w:r>
        <w:rPr>
          <w:rFonts w:hint="eastAsia"/>
          <w:sz w:val="24"/>
        </w:rPr>
        <w:t>清华大学是中国乃至亚洲最著名的高等学府之一，是中国高层次人才培养和科学技术研究的重要基地。清华大学的前身是清华学堂，成立于1911年，当初是清政府建立的留美预备学校。1912 年更名为清华学校，1925 年设立大学部，同年开办国学研究院，1928年更名为"国立清华大学"。1937年抗日战争爆发后，南迁长沙，与北京大学、南开大学联合办学，组建国立长沙临时大学，1938年迁至昆明，改名为国立西南联合大学。1946年，清华大学迁回清华园原址复校。</w:t>
      </w:r>
    </w:p>
    <w:p>
      <w:pPr>
        <w:spacing w:line="360" w:lineRule="auto"/>
        <w:rPr>
          <w:sz w:val="24"/>
        </w:rPr>
      </w:pPr>
      <w:r>
        <w:rPr>
          <w:rFonts w:hint="eastAsia"/>
          <w:sz w:val="24"/>
        </w:rPr>
        <w:t>清华大学在长达百年的办学历史中， 秉承“自强不息、厚德载物”的清华精神，培养了大批学术大师及治国之才，为社会繁荣、国家富强作出了历久弥新的重要贡献。前任及现任国家主席胡锦涛及习近平均毕于清华大学。</w:t>
      </w:r>
    </w:p>
    <w:p>
      <w:pPr>
        <w:spacing w:line="360" w:lineRule="auto"/>
        <w:rPr>
          <w:sz w:val="24"/>
        </w:rPr>
      </w:pPr>
      <w:r>
        <w:rPr>
          <w:rFonts w:hint="eastAsia"/>
          <w:sz w:val="24"/>
        </w:rPr>
        <w:t>目前，清华大学设有19个学院，55个系，已成为一所具有理学、工学、文学、艺术学、历史学、哲学、经济学、管理学、法学、教育学和医学等学科的综合性、研究型、开放式大学。</w:t>
      </w:r>
    </w:p>
    <w:p>
      <w:pPr>
        <w:ind w:firstLine="480" w:firstLineChars="200"/>
        <w:rPr>
          <w:rFonts w:hAnsi="宋体"/>
          <w:sz w:val="24"/>
          <w:szCs w:val="24"/>
        </w:rPr>
      </w:pPr>
    </w:p>
    <w:p>
      <w:pPr>
        <w:rPr>
          <w:rFonts w:hAnsi="宋体"/>
          <w:b/>
          <w:sz w:val="24"/>
          <w:szCs w:val="24"/>
        </w:rPr>
      </w:pPr>
      <w:r>
        <w:rPr>
          <w:rFonts w:hint="eastAsia" w:hAnsi="宋体"/>
          <w:b/>
          <w:sz w:val="24"/>
          <w:szCs w:val="24"/>
        </w:rPr>
        <w:t>公共管理学院</w:t>
      </w:r>
    </w:p>
    <w:p>
      <w:pPr>
        <w:spacing w:line="360" w:lineRule="auto"/>
        <w:ind w:firstLine="480" w:firstLineChars="200"/>
        <w:rPr>
          <w:sz w:val="24"/>
        </w:rPr>
      </w:pPr>
      <w:r>
        <w:rPr>
          <w:sz w:val="24"/>
        </w:rPr>
        <w:t>清华大学公共管理学院正式成立于2000年，是中国首批MPA(公共管理硕士)教育的试点院校之一。学院的宗旨是发挥清华大学的综合优势，以为国家培养高层次公共政策研究和公共管理人才为学院的根本任务，提供高水平的公共管理教育和培训、从事高水平的公共政策与管理研究，把学院建设成教学、研究、培训、咨询并重的国际一流公共管理学院。</w:t>
      </w:r>
    </w:p>
    <w:p>
      <w:pPr>
        <w:spacing w:line="360" w:lineRule="auto"/>
        <w:rPr>
          <w:sz w:val="24"/>
        </w:rPr>
      </w:pPr>
    </w:p>
    <w:p>
      <w:pPr>
        <w:spacing w:line="360" w:lineRule="auto"/>
        <w:ind w:firstLine="480" w:firstLineChars="200"/>
        <w:rPr>
          <w:sz w:val="24"/>
        </w:rPr>
      </w:pPr>
      <w:r>
        <w:rPr>
          <w:rFonts w:hint="eastAsia"/>
          <w:sz w:val="24"/>
        </w:rPr>
        <w:t xml:space="preserve">公共管理一级学科下设有博士招生点和硕士招生点，以及“公共管理”学科博士后流动站。自2007年，学院先后设立国际发展硕士（MID）与国际公共管理硕士（IMPA）项目两个全英文硕士项目，面向全球招收外国学生，旨在培养具有影响力的全球领导者。截止到2015年1月，MID和IMPA两个项目的毕业生总人数达400余人，来自六大洲97个国家和地区。 </w:t>
      </w:r>
    </w:p>
    <w:p>
      <w:pPr>
        <w:spacing w:line="360" w:lineRule="auto"/>
        <w:rPr>
          <w:sz w:val="24"/>
        </w:rPr>
      </w:pPr>
    </w:p>
    <w:p>
      <w:pPr>
        <w:spacing w:line="360" w:lineRule="auto"/>
        <w:ind w:firstLine="480" w:firstLineChars="200"/>
        <w:rPr>
          <w:sz w:val="24"/>
        </w:rPr>
      </w:pPr>
      <w:r>
        <w:rPr>
          <w:rFonts w:hint="eastAsia"/>
          <w:sz w:val="24"/>
        </w:rPr>
        <w:t>2013年7月，清华大学MPA（公共管理硕士）项目于通过公共管理院校联合会（NASPAA）的国际认证，成为美国之外全球首例通过NASPAA国际认证的公共管理硕士学位项目。清华MPA旨在培养能植根中国、面向世界、引领国家发展与人类进步的公共事务领导者。</w:t>
      </w:r>
    </w:p>
    <w:p>
      <w:pPr>
        <w:spacing w:line="360" w:lineRule="auto"/>
        <w:rPr>
          <w:sz w:val="24"/>
        </w:rPr>
      </w:pPr>
    </w:p>
    <w:p>
      <w:pPr>
        <w:spacing w:line="360" w:lineRule="auto"/>
        <w:ind w:firstLine="480" w:firstLineChars="200"/>
        <w:rPr>
          <w:sz w:val="24"/>
        </w:rPr>
      </w:pPr>
      <w:r>
        <w:rPr>
          <w:rFonts w:hint="eastAsia"/>
          <w:sz w:val="24"/>
        </w:rPr>
        <w:t>公管学院现有全职教师50人，其中包括2位教育部长江学者特聘教授，2位清华大学“百人计划”特聘教授；</w:t>
      </w:r>
      <w:r>
        <w:rPr>
          <w:sz w:val="24"/>
        </w:rPr>
        <w:t>同时，学院从国内外政府组织、高等院校、研究机构等聘请20余位知名专家和学者担任兼职教授，参与课堂教学工作。</w:t>
      </w:r>
    </w:p>
    <w:p>
      <w:pPr>
        <w:spacing w:line="360" w:lineRule="auto"/>
        <w:rPr>
          <w:sz w:val="24"/>
        </w:rPr>
      </w:pPr>
    </w:p>
    <w:p>
      <w:pPr>
        <w:spacing w:line="360" w:lineRule="auto"/>
        <w:ind w:firstLine="480" w:firstLineChars="200"/>
        <w:rPr>
          <w:sz w:val="24"/>
        </w:rPr>
      </w:pPr>
      <w:r>
        <w:rPr>
          <w:sz w:val="24"/>
        </w:rPr>
        <w:t>学院现有</w:t>
      </w:r>
      <w:r>
        <w:rPr>
          <w:rFonts w:hint="eastAsia"/>
          <w:sz w:val="24"/>
        </w:rPr>
        <w:t>常设研究机构6个：</w:t>
      </w:r>
      <w:r>
        <w:rPr>
          <w:sz w:val="24"/>
        </w:rPr>
        <w:t>政府研究所、公共政策研究所、非政府管理（NGO）研究所、国际战略与发展研究所、国情研究所、台湾研究所等研究机构。</w:t>
      </w:r>
    </w:p>
    <w:p>
      <w:pPr>
        <w:ind w:firstLine="480" w:firstLineChars="200"/>
        <w:rPr>
          <w:rFonts w:hAnsi="宋体"/>
          <w:sz w:val="24"/>
          <w:szCs w:val="24"/>
        </w:rPr>
      </w:pPr>
    </w:p>
    <w:p>
      <w:pPr>
        <w:rPr>
          <w:rFonts w:hAnsi="宋体"/>
          <w:b/>
          <w:sz w:val="24"/>
          <w:szCs w:val="24"/>
        </w:rPr>
      </w:pPr>
      <w:r>
        <w:rPr>
          <w:rFonts w:hint="eastAsia" w:hAnsi="宋体"/>
          <w:b/>
          <w:sz w:val="24"/>
          <w:szCs w:val="24"/>
        </w:rPr>
        <w:t>项目介绍</w:t>
      </w:r>
    </w:p>
    <w:bookmarkEnd w:id="0"/>
    <w:bookmarkEnd w:id="1"/>
    <w:p>
      <w:pPr>
        <w:spacing w:line="440" w:lineRule="exact"/>
        <w:ind w:firstLine="480" w:firstLineChars="200"/>
        <w:rPr>
          <w:sz w:val="24"/>
          <w:szCs w:val="24"/>
        </w:rPr>
      </w:pPr>
      <w:r>
        <w:rPr>
          <w:rFonts w:hint="eastAsia"/>
          <w:sz w:val="24"/>
          <w:szCs w:val="24"/>
        </w:rPr>
        <w:t>发展中国家国际发展与治理硕士（MIDG）项目是由清华大学公共管理学院承办的为</w:t>
      </w:r>
      <w:r>
        <w:rPr>
          <w:rFonts w:hint="eastAsia" w:hAnsi="宋体"/>
          <w:color w:val="000000" w:themeColor="text1"/>
          <w:sz w:val="24"/>
          <w:szCs w:val="24"/>
          <w14:textFill>
            <w14:solidFill>
              <w14:schemeClr w14:val="tx1"/>
            </w14:solidFill>
          </w14:textFill>
        </w:rPr>
        <w:t>两年的英语学位课程项目。本项目旨在培养发展中国家从事国际发展和治理工作的高级专业人才。本项目通过整合跨学科知识，将传统课堂与丰富的实践相结合，以中国发展经验为特色，帮助学生深刻理解世界与中国发展问题的复杂性，全面提升和增进学生分析和解决有关国际发展与治理问题的理念、知识与技能。</w:t>
      </w:r>
    </w:p>
    <w:p>
      <w:pPr>
        <w:rPr>
          <w:b/>
          <w:sz w:val="24"/>
          <w:szCs w:val="24"/>
        </w:rPr>
      </w:pPr>
    </w:p>
    <w:p>
      <w:pPr>
        <w:ind w:firstLine="480" w:firstLineChars="200"/>
        <w:rPr>
          <w:rFonts w:hAnsi="宋体"/>
          <w:sz w:val="24"/>
          <w:szCs w:val="24"/>
        </w:rPr>
      </w:pPr>
      <w:r>
        <w:rPr>
          <w:rFonts w:hint="eastAsia" w:hAnsi="宋体"/>
          <w:sz w:val="24"/>
          <w:szCs w:val="24"/>
        </w:rPr>
        <w:t>清华大学公共管理学院主要任务在于提供公共管理学术及专业培训方案，以追求学术卓越，创新的管理和公共政策研究的实际应用。</w:t>
      </w:r>
      <w:r>
        <w:rPr>
          <w:rFonts w:hint="eastAsia"/>
          <w:sz w:val="24"/>
          <w:szCs w:val="24"/>
        </w:rPr>
        <w:t>MIDG</w:t>
      </w:r>
      <w:r>
        <w:rPr>
          <w:rFonts w:hint="eastAsia" w:hAnsi="宋体"/>
          <w:sz w:val="24"/>
          <w:szCs w:val="24"/>
        </w:rPr>
        <w:t>项目于</w:t>
      </w:r>
      <w:r>
        <w:rPr>
          <w:sz w:val="24"/>
          <w:szCs w:val="24"/>
        </w:rPr>
        <w:t>20</w:t>
      </w:r>
      <w:r>
        <w:rPr>
          <w:rFonts w:hint="eastAsia"/>
          <w:sz w:val="24"/>
          <w:szCs w:val="24"/>
        </w:rPr>
        <w:t>15</w:t>
      </w:r>
      <w:r>
        <w:rPr>
          <w:rFonts w:hint="eastAsia" w:hAnsi="宋体"/>
          <w:sz w:val="24"/>
          <w:szCs w:val="24"/>
        </w:rPr>
        <w:t>年秋季启动。</w:t>
      </w:r>
      <w:r>
        <w:rPr>
          <w:rFonts w:hint="eastAsia"/>
          <w:sz w:val="24"/>
          <w:szCs w:val="24"/>
        </w:rPr>
        <w:t>首届MIDG项目</w:t>
      </w:r>
      <w:r>
        <w:rPr>
          <w:rFonts w:hint="eastAsia" w:hAnsi="宋体"/>
          <w:sz w:val="24"/>
          <w:szCs w:val="24"/>
        </w:rPr>
        <w:t>汇集了来自</w:t>
      </w:r>
      <w:r>
        <w:rPr>
          <w:rFonts w:hAnsi="宋体"/>
          <w:sz w:val="24"/>
          <w:szCs w:val="24"/>
        </w:rPr>
        <w:t>1</w:t>
      </w:r>
      <w:r>
        <w:rPr>
          <w:rFonts w:hint="eastAsia" w:hAnsi="宋体"/>
          <w:sz w:val="24"/>
          <w:szCs w:val="24"/>
        </w:rPr>
        <w:t>1个非洲国家、</w:t>
      </w:r>
      <w:r>
        <w:rPr>
          <w:rFonts w:hAnsi="宋体"/>
          <w:sz w:val="24"/>
          <w:szCs w:val="24"/>
        </w:rPr>
        <w:t>1</w:t>
      </w:r>
      <w:r>
        <w:rPr>
          <w:rFonts w:hint="eastAsia" w:hAnsi="宋体"/>
          <w:sz w:val="24"/>
          <w:szCs w:val="24"/>
        </w:rPr>
        <w:t>个亚洲国家、3个欧洲国家的15个学生。学生有机会与中国学生和教师共同参与各种活动，这对于鼓励发展和积极构建未来的合作网络有很大的作用。</w:t>
      </w:r>
    </w:p>
    <w:p>
      <w:pPr>
        <w:rPr>
          <w:sz w:val="24"/>
          <w:szCs w:val="24"/>
        </w:rPr>
      </w:pPr>
    </w:p>
    <w:p>
      <w:pPr>
        <w:rPr>
          <w:b/>
          <w:sz w:val="24"/>
          <w:szCs w:val="24"/>
        </w:rPr>
      </w:pPr>
    </w:p>
    <w:p>
      <w:pPr>
        <w:pStyle w:val="42"/>
        <w:numPr>
          <w:ilvl w:val="0"/>
          <w:numId w:val="1"/>
        </w:numPr>
        <w:ind w:firstLineChars="0"/>
        <w:rPr>
          <w:rFonts w:hAnsi="宋体"/>
          <w:sz w:val="28"/>
          <w:szCs w:val="28"/>
        </w:rPr>
      </w:pPr>
      <w:r>
        <w:rPr>
          <w:rFonts w:hint="eastAsia" w:hAnsi="宋体"/>
          <w:sz w:val="28"/>
          <w:szCs w:val="28"/>
        </w:rPr>
        <w:t>课程大纲</w:t>
      </w:r>
    </w:p>
    <w:p>
      <w:pPr>
        <w:spacing w:line="440" w:lineRule="exact"/>
        <w:ind w:firstLine="480" w:firstLineChars="200"/>
        <w:rPr>
          <w:rFonts w:hAnsi="宋体"/>
          <w:sz w:val="24"/>
          <w:szCs w:val="24"/>
        </w:rPr>
      </w:pPr>
      <w:r>
        <w:rPr>
          <w:sz w:val="24"/>
          <w:szCs w:val="24"/>
        </w:rPr>
        <w:t>M</w:t>
      </w:r>
      <w:r>
        <w:rPr>
          <w:rFonts w:hint="eastAsia"/>
          <w:sz w:val="24"/>
          <w:szCs w:val="24"/>
        </w:rPr>
        <w:t>IDG</w:t>
      </w:r>
      <w:r>
        <w:rPr>
          <w:rFonts w:hint="eastAsia" w:hAnsi="宋体"/>
          <w:sz w:val="24"/>
          <w:szCs w:val="24"/>
        </w:rPr>
        <w:t>学员需在两年学习期间内，</w:t>
      </w:r>
      <w:r>
        <w:rPr>
          <w:rFonts w:hint="eastAsia" w:hAnsi="宋体"/>
          <w:color w:val="000000" w:themeColor="text1"/>
          <w:sz w:val="24"/>
          <w:szCs w:val="24"/>
          <w14:textFill>
            <w14:solidFill>
              <w14:schemeClr w14:val="tx1"/>
            </w14:solidFill>
          </w14:textFill>
        </w:rPr>
        <w:t>获得学位要求总学分不少于46（考试学分不少于30</w:t>
      </w:r>
      <w:r>
        <w:rPr>
          <w:rFonts w:hint="eastAsia" w:hAnsi="宋体" w:cs="宋体"/>
          <w:color w:val="000000" w:themeColor="text1"/>
          <w:sz w:val="24"/>
          <w:szCs w:val="24"/>
          <w14:textFill>
            <w14:solidFill>
              <w14:schemeClr w14:val="tx1"/>
            </w14:solidFill>
          </w14:textFill>
        </w:rPr>
        <w:t>学分</w:t>
      </w:r>
      <w:r>
        <w:rPr>
          <w:rFonts w:hint="eastAsia" w:hAnsi="宋体"/>
          <w:color w:val="000000" w:themeColor="text1"/>
          <w:sz w:val="24"/>
          <w:szCs w:val="24"/>
          <w14:textFill>
            <w14:solidFill>
              <w14:schemeClr w14:val="tx1"/>
            </w14:solidFill>
          </w14:textFill>
        </w:rPr>
        <w:t>），其中公共必修课（汉语/英语）2学分，核心课程12学分，方向性必修课不少于9学分，选修课不少于16学分，必修环节7学分。</w:t>
      </w:r>
    </w:p>
    <w:p>
      <w:pPr>
        <w:spacing w:line="440" w:lineRule="exact"/>
        <w:ind w:firstLine="480" w:firstLineChars="200"/>
        <w:rPr>
          <w:sz w:val="24"/>
          <w:szCs w:val="24"/>
        </w:rPr>
      </w:pPr>
    </w:p>
    <w:p>
      <w:pPr>
        <w:pStyle w:val="10"/>
        <w:spacing w:line="300" w:lineRule="auto"/>
        <w:jc w:val="left"/>
        <w:rPr>
          <w:rFonts w:ascii="Times New Roman" w:hAnsi="宋体"/>
          <w:b/>
          <w:bCs/>
          <w:sz w:val="24"/>
          <w:szCs w:val="24"/>
        </w:rPr>
      </w:pPr>
      <w:r>
        <w:rPr>
          <w:rFonts w:hint="eastAsia" w:ascii="Times New Roman" w:hAnsi="宋体"/>
          <w:b/>
          <w:bCs/>
          <w:sz w:val="24"/>
          <w:szCs w:val="24"/>
        </w:rPr>
        <w:t>课程安排</w:t>
      </w:r>
    </w:p>
    <w:p>
      <w:pPr>
        <w:pStyle w:val="10"/>
        <w:numPr>
          <w:ilvl w:val="0"/>
          <w:numId w:val="2"/>
        </w:numPr>
        <w:spacing w:line="300" w:lineRule="auto"/>
        <w:jc w:val="left"/>
        <w:rPr>
          <w:rFonts w:ascii="Times New Roman" w:hAnsi="Times New Roman"/>
          <w:b/>
          <w:bCs/>
          <w:sz w:val="24"/>
          <w:szCs w:val="24"/>
        </w:rPr>
      </w:pPr>
      <w:r>
        <w:rPr>
          <w:rFonts w:hint="eastAsia"/>
          <w:b/>
          <w:sz w:val="28"/>
          <w:szCs w:val="28"/>
        </w:rPr>
        <w:t>公共必修课程（2学分）</w:t>
      </w:r>
    </w:p>
    <w:p>
      <w:pPr>
        <w:pStyle w:val="42"/>
        <w:numPr>
          <w:ilvl w:val="0"/>
          <w:numId w:val="3"/>
        </w:numPr>
        <w:spacing w:before="156" w:beforeLines="50" w:after="156" w:afterLines="50"/>
        <w:ind w:firstLineChars="0"/>
      </w:pPr>
      <w:r>
        <w:rPr>
          <w:rFonts w:hint="eastAsia"/>
        </w:rPr>
        <w:t xml:space="preserve">语言课（汉语）                                                        </w:t>
      </w:r>
      <w:r>
        <w:t>2</w:t>
      </w:r>
      <w:r>
        <w:rPr>
          <w:rFonts w:hint="eastAsia"/>
        </w:rPr>
        <w:t xml:space="preserve">学分       </w:t>
      </w:r>
    </w:p>
    <w:p>
      <w:pPr>
        <w:pStyle w:val="42"/>
        <w:numPr>
          <w:ilvl w:val="0"/>
          <w:numId w:val="4"/>
        </w:numPr>
        <w:spacing w:before="156" w:beforeLines="50" w:after="156" w:afterLines="50"/>
        <w:ind w:firstLineChars="0"/>
        <w:rPr>
          <w:b/>
        </w:rPr>
      </w:pPr>
      <w:r>
        <w:rPr>
          <w:rFonts w:hint="eastAsia"/>
          <w:b/>
          <w:sz w:val="28"/>
          <w:szCs w:val="28"/>
        </w:rPr>
        <w:t>核心课（必修，12学分, 5选4）</w:t>
      </w:r>
    </w:p>
    <w:tbl>
      <w:tblPr>
        <w:tblStyle w:val="23"/>
        <w:tblW w:w="8613" w:type="dxa"/>
        <w:tblInd w:w="0" w:type="dxa"/>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45"/>
        <w:gridCol w:w="1134"/>
        <w:gridCol w:w="1134"/>
      </w:tblGrid>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 公共政策分析</w:t>
            </w:r>
          </w:p>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 公共组织战略管理</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3学分</w:t>
            </w:r>
          </w:p>
          <w:p>
            <w:pPr>
              <w:ind w:firstLine="105" w:firstLineChars="50"/>
              <w:rPr>
                <w:rFonts w:asciiTheme="minorHAnsi" w:hAnsiTheme="minorHAnsi" w:eastAsiaTheme="minorEastAsia" w:cstheme="minorBidi"/>
                <w:color w:val="604A7B" w:themeColor="accent4" w:themeShade="BF"/>
              </w:rPr>
            </w:pPr>
            <w:r>
              <w:rPr>
                <w:rFonts w:asciiTheme="minorHAnsi" w:hAnsiTheme="minorHAnsi" w:eastAsiaTheme="minorEastAsia" w:cstheme="minorBidi"/>
                <w:color w:val="auto"/>
              </w:rPr>
              <w:t>3学分</w:t>
            </w:r>
          </w:p>
        </w:tc>
        <w:tc>
          <w:tcPr>
            <w:tcW w:w="1134" w:type="dxa"/>
          </w:tcPr>
          <w:p>
            <w:pPr>
              <w:spacing w:before="31" w:beforeLines="10" w:after="31" w:afterLines="10" w:line="360" w:lineRule="exact"/>
              <w:jc w:val="center"/>
              <w:rPr>
                <w:rFonts w:asciiTheme="minorHAnsi" w:hAnsiTheme="minorHAnsi" w:eastAsiaTheme="minorEastAsia" w:cstheme="minorBidi"/>
                <w:b/>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 </w:t>
            </w:r>
            <w:r>
              <w:rPr>
                <w:rFonts w:asciiTheme="minorHAnsi" w:hAnsiTheme="minorHAnsi" w:eastAsiaTheme="minorEastAsia" w:cstheme="minorBidi"/>
                <w:color w:val="auto"/>
              </w:rPr>
              <w:t>比较政治与政府</w:t>
            </w:r>
            <w:r>
              <w:rPr>
                <w:rFonts w:hint="eastAsia" w:asciiTheme="minorHAnsi" w:hAnsiTheme="minorHAnsi" w:eastAsiaTheme="minorEastAsia" w:cstheme="minorBidi"/>
                <w:color w:val="auto"/>
              </w:rPr>
              <w:t xml:space="preserve"> </w:t>
            </w:r>
          </w:p>
        </w:tc>
        <w:tc>
          <w:tcPr>
            <w:tcW w:w="1134" w:type="dxa"/>
          </w:tcPr>
          <w:p>
            <w:pPr>
              <w:spacing w:before="31" w:beforeLines="10" w:after="31" w:afterLines="10"/>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before="31" w:beforeLines="10" w:after="31" w:afterLines="10"/>
              <w:jc w:val="center"/>
              <w:rPr>
                <w:rFonts w:asciiTheme="minorHAnsi" w:hAnsiTheme="minorHAnsi" w:eastAsiaTheme="minorEastAsia" w:cstheme="minorBidi"/>
                <w:b/>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 经济发展：理论与实践</w:t>
            </w:r>
          </w:p>
        </w:tc>
        <w:tc>
          <w:tcPr>
            <w:tcW w:w="1134" w:type="dxa"/>
          </w:tcPr>
          <w:p>
            <w:pPr>
              <w:spacing w:before="31" w:beforeLines="10" w:after="31" w:afterLines="10"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3学分</w:t>
            </w:r>
          </w:p>
        </w:tc>
        <w:tc>
          <w:tcPr>
            <w:tcW w:w="1134" w:type="dxa"/>
          </w:tcPr>
          <w:p>
            <w:pPr>
              <w:spacing w:before="31" w:beforeLines="10" w:after="31" w:afterLines="10" w:line="360" w:lineRule="exact"/>
              <w:jc w:val="center"/>
              <w:rPr>
                <w:rFonts w:asciiTheme="minorHAnsi" w:hAnsiTheme="minorHAnsi" w:eastAsiaTheme="minorEastAsia" w:cstheme="minorBidi"/>
                <w:b/>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 论文设计与研究方法</w:t>
            </w:r>
          </w:p>
        </w:tc>
        <w:tc>
          <w:tcPr>
            <w:tcW w:w="1134" w:type="dxa"/>
          </w:tcPr>
          <w:p>
            <w:pPr>
              <w:spacing w:before="31" w:beforeLines="10" w:after="31" w:afterLines="10" w:line="360" w:lineRule="exact"/>
              <w:jc w:val="center"/>
              <w:rPr>
                <w:rFonts w:asciiTheme="minorHAnsi" w:hAnsiTheme="minorHAnsi" w:eastAsiaTheme="minorEastAsia" w:cstheme="minorBidi"/>
                <w:color w:val="auto"/>
              </w:rPr>
            </w:pPr>
            <w:r>
              <w:rPr>
                <w:rFonts w:hint="eastAsia"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before="31" w:beforeLines="10" w:after="31" w:afterLines="10" w:line="360" w:lineRule="exact"/>
              <w:jc w:val="center"/>
              <w:rPr>
                <w:rFonts w:asciiTheme="minorHAnsi" w:hAnsiTheme="minorHAnsi" w:eastAsiaTheme="minorEastAsia" w:cstheme="minorBidi"/>
                <w:b/>
                <w:color w:val="auto"/>
              </w:rPr>
            </w:pPr>
          </w:p>
        </w:tc>
      </w:tr>
    </w:tbl>
    <w:p>
      <w:pPr>
        <w:pStyle w:val="4"/>
        <w:rPr>
          <w:sz w:val="28"/>
          <w:szCs w:val="28"/>
        </w:rPr>
      </w:pPr>
      <w:r>
        <w:rPr>
          <w:rFonts w:hint="eastAsia"/>
          <w:sz w:val="28"/>
          <w:szCs w:val="28"/>
        </w:rPr>
        <w:t>方向性必修课（不少于9学分）</w:t>
      </w:r>
    </w:p>
    <w:tbl>
      <w:tblPr>
        <w:tblStyle w:val="23"/>
        <w:tblW w:w="8613" w:type="dxa"/>
        <w:tblInd w:w="0" w:type="dxa"/>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45"/>
        <w:gridCol w:w="1134"/>
        <w:gridCol w:w="1134"/>
      </w:tblGrid>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人口健康与发展 </w:t>
            </w:r>
          </w:p>
        </w:tc>
        <w:tc>
          <w:tcPr>
            <w:tcW w:w="1134" w:type="dxa"/>
          </w:tcPr>
          <w:p>
            <w:pPr>
              <w:spacing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3学分</w:t>
            </w:r>
          </w:p>
        </w:tc>
        <w:tc>
          <w:tcPr>
            <w:tcW w:w="1134" w:type="dxa"/>
          </w:tcPr>
          <w:p>
            <w:pPr>
              <w:spacing w:line="360" w:lineRule="exact"/>
              <w:jc w:val="center"/>
              <w:rPr>
                <w:rFonts w:asciiTheme="minorHAnsi" w:hAnsiTheme="minorHAnsi" w:eastAsiaTheme="minorEastAsia" w:cstheme="minorBidi"/>
                <w:color w:val="604A7B" w:themeColor="accent4" w:themeShade="BF"/>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公共卫生</w:t>
            </w:r>
          </w:p>
        </w:tc>
        <w:tc>
          <w:tcPr>
            <w:tcW w:w="1134" w:type="dxa"/>
          </w:tcPr>
          <w:p>
            <w:pPr>
              <w:spacing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3学分</w:t>
            </w:r>
          </w:p>
        </w:tc>
        <w:tc>
          <w:tcPr>
            <w:tcW w:w="1134" w:type="dxa"/>
          </w:tcPr>
          <w:p>
            <w:pPr>
              <w:spacing w:line="360" w:lineRule="exact"/>
              <w:jc w:val="center"/>
              <w:rPr>
                <w:rFonts w:asciiTheme="minorHAnsi" w:hAnsiTheme="minorHAnsi" w:eastAsiaTheme="minorEastAsia" w:cstheme="minorBidi"/>
                <w:color w:val="604A7B" w:themeColor="accent4" w:themeShade="BF"/>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科技创新与创业</w:t>
            </w:r>
          </w:p>
        </w:tc>
        <w:tc>
          <w:tcPr>
            <w:tcW w:w="1134" w:type="dxa"/>
          </w:tcPr>
          <w:p>
            <w:pPr>
              <w:spacing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3学分</w:t>
            </w:r>
          </w:p>
        </w:tc>
        <w:tc>
          <w:tcPr>
            <w:tcW w:w="1134" w:type="dxa"/>
          </w:tcPr>
          <w:p>
            <w:pPr>
              <w:spacing w:line="360" w:lineRule="exact"/>
              <w:jc w:val="center"/>
              <w:rPr>
                <w:rFonts w:asciiTheme="minorHAnsi" w:hAnsiTheme="minorHAnsi" w:eastAsiaTheme="minorEastAsia" w:cstheme="minorBidi"/>
                <w:color w:val="604A7B" w:themeColor="accent4" w:themeShade="BF"/>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城市化与社会发展</w:t>
            </w:r>
          </w:p>
        </w:tc>
        <w:tc>
          <w:tcPr>
            <w:tcW w:w="1134" w:type="dxa"/>
          </w:tcPr>
          <w:p>
            <w:pPr>
              <w:spacing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3学分</w:t>
            </w:r>
          </w:p>
        </w:tc>
        <w:tc>
          <w:tcPr>
            <w:tcW w:w="1134" w:type="dxa"/>
          </w:tcPr>
          <w:p>
            <w:pPr>
              <w:spacing w:line="360" w:lineRule="exact"/>
              <w:jc w:val="center"/>
              <w:rPr>
                <w:rFonts w:asciiTheme="minorHAnsi" w:hAnsiTheme="minorHAnsi" w:eastAsiaTheme="minorEastAsia" w:cstheme="minorBidi"/>
                <w:color w:val="604A7B" w:themeColor="accent4" w:themeShade="BF"/>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环境、气候变化与治理</w:t>
            </w:r>
          </w:p>
        </w:tc>
        <w:tc>
          <w:tcPr>
            <w:tcW w:w="1134" w:type="dxa"/>
          </w:tcPr>
          <w:p>
            <w:pPr>
              <w:spacing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3学分</w:t>
            </w:r>
          </w:p>
        </w:tc>
        <w:tc>
          <w:tcPr>
            <w:tcW w:w="1134" w:type="dxa"/>
          </w:tcPr>
          <w:p>
            <w:pPr>
              <w:spacing w:line="360" w:lineRule="exact"/>
              <w:jc w:val="center"/>
              <w:rPr>
                <w:rFonts w:asciiTheme="minorHAnsi" w:hAnsiTheme="minorHAnsi" w:eastAsiaTheme="minorEastAsia" w:cstheme="minorBidi"/>
                <w:color w:val="604A7B" w:themeColor="accent4" w:themeShade="BF"/>
              </w:rPr>
            </w:pPr>
          </w:p>
        </w:tc>
      </w:tr>
    </w:tbl>
    <w:p>
      <w:pPr/>
    </w:p>
    <w:p>
      <w:pPr>
        <w:numPr>
          <w:ilvl w:val="0"/>
          <w:numId w:val="5"/>
        </w:numPr>
        <w:tabs>
          <w:tab w:val="left" w:pos="170"/>
        </w:tabs>
        <w:adjustRightInd w:val="0"/>
        <w:snapToGrid w:val="0"/>
        <w:rPr>
          <w:sz w:val="24"/>
          <w:szCs w:val="24"/>
        </w:rPr>
      </w:pPr>
      <w:r>
        <w:rPr>
          <w:rFonts w:hint="eastAsia"/>
          <w:sz w:val="24"/>
          <w:szCs w:val="24"/>
        </w:rPr>
        <w:t>说明：</w:t>
      </w:r>
      <w:r>
        <w:rPr>
          <w:rFonts w:hint="eastAsia"/>
          <w:b/>
          <w:sz w:val="24"/>
          <w:szCs w:val="24"/>
        </w:rPr>
        <w:t>经导师同意，学生也可以选修本校开设的不超过3学分其他有关科学与工程类研究生课程作为自己的方向性必修课（中文或英文）</w:t>
      </w:r>
      <w:r>
        <w:rPr>
          <w:rFonts w:hint="eastAsia"/>
          <w:sz w:val="24"/>
          <w:szCs w:val="24"/>
        </w:rPr>
        <w:t>。</w:t>
      </w:r>
    </w:p>
    <w:p>
      <w:pPr>
        <w:adjustRightInd w:val="0"/>
        <w:snapToGrid w:val="0"/>
        <w:ind w:left="170"/>
        <w:rPr>
          <w:sz w:val="24"/>
          <w:szCs w:val="24"/>
        </w:rPr>
      </w:pPr>
    </w:p>
    <w:p>
      <w:pPr>
        <w:pStyle w:val="42"/>
        <w:numPr>
          <w:ilvl w:val="0"/>
          <w:numId w:val="6"/>
        </w:numPr>
        <w:adjustRightInd w:val="0"/>
        <w:snapToGrid w:val="0"/>
        <w:ind w:firstLineChars="0"/>
        <w:rPr>
          <w:b/>
          <w:sz w:val="24"/>
          <w:szCs w:val="24"/>
        </w:rPr>
      </w:pPr>
      <w:r>
        <w:rPr>
          <w:rFonts w:hint="eastAsia"/>
          <w:b/>
          <w:sz w:val="28"/>
          <w:szCs w:val="28"/>
        </w:rPr>
        <w:t>选修课（不少于16学分）</w:t>
      </w:r>
    </w:p>
    <w:tbl>
      <w:tblPr>
        <w:tblStyle w:val="23"/>
        <w:tblW w:w="8613" w:type="dxa"/>
        <w:tblInd w:w="0" w:type="dxa"/>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45"/>
        <w:gridCol w:w="1134"/>
        <w:gridCol w:w="1134"/>
      </w:tblGrid>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asciiTheme="minorHAnsi" w:hAnsiTheme="minorHAnsi" w:eastAsiaTheme="minorEastAsia" w:cstheme="minorBidi"/>
                <w:color w:val="auto"/>
              </w:rPr>
              <w:t>治理与发展</w:t>
            </w:r>
            <w:r>
              <w:rPr>
                <w:rFonts w:hint="eastAsia" w:asciiTheme="minorHAnsi" w:hAnsiTheme="minorHAnsi" w:eastAsiaTheme="minorEastAsia" w:cstheme="minorBidi"/>
                <w:color w:val="auto"/>
              </w:rPr>
              <w:t xml:space="preserve"> </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asciiTheme="minorHAnsi" w:hAnsiTheme="minorHAnsi" w:eastAsiaTheme="minorEastAsia" w:cstheme="minorBidi"/>
                <w:color w:val="auto"/>
              </w:rPr>
              <w:t>国际政治经济学</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中国的宪法与行政法</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7"/>
              </w:numPr>
              <w:tabs>
                <w:tab w:val="left" w:pos="170"/>
              </w:tabs>
              <w:spacing w:before="62" w:beforeLines="20" w:after="62" w:afterLines="20" w:line="360" w:lineRule="exact"/>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领导力</w:t>
            </w:r>
          </w:p>
        </w:tc>
        <w:tc>
          <w:tcPr>
            <w:tcW w:w="1134" w:type="dxa"/>
          </w:tcPr>
          <w:p>
            <w:pPr>
              <w:spacing w:line="360" w:lineRule="exact"/>
              <w:jc w:val="center"/>
              <w:rPr>
                <w:rFonts w:asciiTheme="minorHAnsi" w:hAnsiTheme="minorHAnsi" w:eastAsiaTheme="minorEastAsia" w:cstheme="minorBidi"/>
                <w:color w:val="auto"/>
              </w:rPr>
            </w:pPr>
            <w:r>
              <w:rPr>
                <w:rFonts w:hint="eastAsia"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asciiTheme="minorHAnsi" w:hAnsiTheme="minorHAnsi" w:eastAsiaTheme="minorEastAsia" w:cstheme="minorBidi"/>
                <w:color w:val="auto"/>
              </w:rPr>
              <w:t>全球化与治理</w:t>
            </w:r>
            <w:r>
              <w:rPr>
                <w:rFonts w:hint="eastAsia" w:asciiTheme="minorHAnsi" w:hAnsiTheme="minorHAnsi" w:eastAsiaTheme="minorEastAsia" w:cstheme="minorBidi"/>
                <w:color w:val="auto"/>
              </w:rPr>
              <w:t xml:space="preserve"> </w:t>
            </w:r>
            <w:r>
              <w:rPr>
                <w:rFonts w:asciiTheme="minorHAnsi" w:hAnsiTheme="minorHAnsi" w:eastAsiaTheme="minorEastAsia" w:cstheme="minorBidi"/>
                <w:color w:val="auto"/>
              </w:rPr>
              <w:t xml:space="preserve"> </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7"/>
              </w:numPr>
              <w:tabs>
                <w:tab w:val="left" w:pos="170"/>
              </w:tabs>
              <w:spacing w:before="62" w:beforeLines="20" w:after="62" w:afterLines="20" w:line="360" w:lineRule="exact"/>
              <w:ind w:hangingChars="81"/>
              <w:rPr>
                <w:rFonts w:asciiTheme="minorHAnsi" w:hAnsiTheme="minorHAnsi" w:eastAsiaTheme="minorEastAsia" w:cstheme="minorBidi"/>
                <w:color w:val="auto"/>
              </w:rPr>
            </w:pPr>
            <w:r>
              <w:rPr>
                <w:rFonts w:hAnsi="宋体" w:asciiTheme="minorHAnsi" w:eastAsiaTheme="minorEastAsia" w:cstheme="minorBidi"/>
                <w:color w:val="auto"/>
              </w:rPr>
              <w:t>公共政策前沿</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可持续发展的综合方法  </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5"/>
              </w:numPr>
              <w:tabs>
                <w:tab w:val="left" w:pos="170"/>
              </w:tabs>
              <w:adjustRightInd w:val="0"/>
              <w:snapToGrid w:val="0"/>
              <w:spacing w:before="62" w:beforeLines="20" w:after="62" w:afterLines="20"/>
              <w:ind w:hangingChars="81"/>
              <w:rPr>
                <w:rFonts w:hAnsi="宋体" w:asciiTheme="minorHAnsi" w:eastAsiaTheme="minorEastAsia" w:cstheme="minorBidi"/>
                <w:color w:val="auto"/>
              </w:rPr>
            </w:pPr>
            <w:r>
              <w:rPr>
                <w:rFonts w:hint="eastAsia" w:asciiTheme="minorHAnsi" w:hAnsiTheme="minorHAnsi" w:eastAsiaTheme="minorEastAsia" w:cstheme="minorBidi"/>
                <w:color w:val="auto"/>
              </w:rPr>
              <w:t>世界各国发展模式</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asciiTheme="minorHAnsi" w:hAnsiTheme="minorHAnsi" w:eastAsiaTheme="minorEastAsia" w:cstheme="minorBidi"/>
                <w:color w:val="auto"/>
              </w:rPr>
              <w:t>中国政治与政府</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9"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asciiTheme="minorHAnsi" w:hAnsiTheme="minorHAnsi" w:eastAsiaTheme="minorEastAsia" w:cstheme="minorBidi"/>
                <w:color w:val="auto"/>
              </w:rPr>
              <w:t>中国经济发展：</w:t>
            </w:r>
            <w:r>
              <w:rPr>
                <w:rFonts w:hint="eastAsia" w:asciiTheme="minorHAnsi" w:hAnsiTheme="minorHAnsi" w:eastAsiaTheme="minorEastAsia" w:cstheme="minorBidi"/>
                <w:color w:val="auto"/>
              </w:rPr>
              <w:t>理论与实践</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6345" w:type="dxa"/>
          </w:tcPr>
          <w:p>
            <w:pPr>
              <w:numPr>
                <w:ilvl w:val="0"/>
                <w:numId w:val="7"/>
              </w:numPr>
              <w:tabs>
                <w:tab w:val="left" w:pos="170"/>
              </w:tabs>
              <w:spacing w:before="62" w:beforeLines="20" w:after="62" w:afterLines="20" w:line="360" w:lineRule="exact"/>
              <w:ind w:hangingChars="81"/>
              <w:rPr>
                <w:rFonts w:asciiTheme="minorHAnsi" w:hAnsiTheme="minorHAnsi" w:eastAsiaTheme="minorEastAsia" w:cstheme="minorBidi"/>
                <w:color w:val="auto"/>
                <w:lang w:val="fr-FR"/>
              </w:rPr>
            </w:pPr>
            <w:r>
              <w:rPr>
                <w:rFonts w:hAnsi="宋体" w:asciiTheme="minorHAnsi" w:eastAsiaTheme="minorEastAsia" w:cstheme="minorBidi"/>
                <w:color w:val="auto"/>
              </w:rPr>
              <w:t>中国社会政策</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9"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asciiTheme="minorHAnsi" w:hAnsiTheme="minorHAnsi" w:eastAsiaTheme="minorEastAsia" w:cstheme="minorBidi"/>
                <w:color w:val="auto"/>
              </w:rPr>
              <w:t>中国外交战略</w:t>
            </w:r>
            <w:r>
              <w:rPr>
                <w:rFonts w:hint="eastAsia" w:asciiTheme="minorHAnsi" w:hAnsiTheme="minorHAnsi" w:eastAsiaTheme="minorEastAsia" w:cstheme="minorBidi"/>
                <w:color w:val="auto"/>
              </w:rPr>
              <w:t>和</w:t>
            </w:r>
            <w:r>
              <w:rPr>
                <w:rFonts w:asciiTheme="minorHAnsi" w:hAnsiTheme="minorHAnsi" w:eastAsiaTheme="minorEastAsia" w:cstheme="minorBidi"/>
                <w:color w:val="auto"/>
              </w:rPr>
              <w:t xml:space="preserve">政策 </w:t>
            </w:r>
          </w:p>
        </w:tc>
        <w:tc>
          <w:tcPr>
            <w:tcW w:w="1134" w:type="dxa"/>
          </w:tcPr>
          <w:p>
            <w:pPr>
              <w:spacing w:line="360" w:lineRule="exact"/>
              <w:jc w:val="center"/>
              <w:rPr>
                <w:rFonts w:asciiTheme="minorHAnsi" w:hAnsiTheme="minorHAnsi" w:eastAsiaTheme="minorEastAsia" w:cstheme="minorBidi"/>
                <w:color w:val="auto"/>
              </w:rPr>
            </w:pPr>
            <w:r>
              <w:rPr>
                <w:rFonts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line="360" w:lineRule="exact"/>
              <w:jc w:val="center"/>
              <w:rPr>
                <w:rFonts w:asciiTheme="minorHAnsi" w:hAns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 xml:space="preserve">公共管理前沿 </w:t>
            </w:r>
          </w:p>
        </w:tc>
        <w:tc>
          <w:tcPr>
            <w:tcW w:w="1134" w:type="dxa"/>
          </w:tcPr>
          <w:p>
            <w:pPr>
              <w:spacing w:line="360" w:lineRule="exact"/>
              <w:jc w:val="center"/>
              <w:rPr>
                <w:rFonts w:asciiTheme="minorHAnsi" w:hAnsiTheme="minorHAnsi" w:eastAsiaTheme="minorEastAsia" w:cstheme="minorBidi"/>
                <w:color w:val="auto"/>
              </w:rPr>
            </w:pPr>
            <w:r>
              <w:rPr>
                <w:rFonts w:hint="eastAsia" w:asciiTheme="minorHAnsi" w:hAnsiTheme="minorHAnsi" w:eastAsiaTheme="minorEastAsia" w:cstheme="minorBidi"/>
                <w:color w:val="auto"/>
              </w:rPr>
              <w:t>3学分</w:t>
            </w:r>
          </w:p>
        </w:tc>
        <w:tc>
          <w:tcPr>
            <w:tcW w:w="1134" w:type="dxa"/>
          </w:tcPr>
          <w:p>
            <w:pPr>
              <w:spacing w:line="360" w:lineRule="exact"/>
              <w:jc w:val="center"/>
              <w:rPr>
                <w:rFonts w:hAnsi="宋体" w:asci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发展理论与实践</w:t>
            </w:r>
          </w:p>
        </w:tc>
        <w:tc>
          <w:tcPr>
            <w:tcW w:w="1134" w:type="dxa"/>
          </w:tcPr>
          <w:p>
            <w:pPr>
              <w:spacing w:line="360" w:lineRule="exact"/>
              <w:jc w:val="center"/>
              <w:rPr>
                <w:rFonts w:asciiTheme="minorHAnsi" w:hAnsiTheme="minorHAnsi" w:eastAsiaTheme="minorEastAsia" w:cstheme="minorBidi"/>
                <w:color w:val="auto"/>
              </w:rPr>
            </w:pPr>
            <w:r>
              <w:rPr>
                <w:rFonts w:hint="eastAsia" w:asciiTheme="minorHAnsi" w:hAnsiTheme="minorHAnsi" w:eastAsiaTheme="minorEastAsia" w:cstheme="minorBidi"/>
                <w:color w:val="auto"/>
              </w:rPr>
              <w:t>3学分</w:t>
            </w:r>
          </w:p>
        </w:tc>
        <w:tc>
          <w:tcPr>
            <w:tcW w:w="1134" w:type="dxa"/>
          </w:tcPr>
          <w:p>
            <w:pPr>
              <w:spacing w:line="360" w:lineRule="exact"/>
              <w:jc w:val="center"/>
              <w:rPr>
                <w:rFonts w:hAnsi="宋体" w:asci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应用社会研究方法</w:t>
            </w:r>
          </w:p>
        </w:tc>
        <w:tc>
          <w:tcPr>
            <w:tcW w:w="1134" w:type="dxa"/>
          </w:tcPr>
          <w:p>
            <w:pPr>
              <w:spacing w:before="2" w:after="2" w:line="360" w:lineRule="exact"/>
              <w:jc w:val="center"/>
              <w:rPr>
                <w:rFonts w:asciiTheme="minorHAnsi" w:hAnsiTheme="minorHAnsi" w:eastAsiaTheme="minorEastAsia" w:cstheme="minorBidi"/>
                <w:color w:val="auto"/>
              </w:rPr>
            </w:pPr>
            <w:r>
              <w:rPr>
                <w:rFonts w:hint="eastAsia" w:asciiTheme="minorHAnsi" w:hAnsiTheme="minorHAnsi" w:eastAsiaTheme="minorEastAsia" w:cstheme="minorBidi"/>
                <w:color w:val="auto"/>
              </w:rPr>
              <w:t>3</w:t>
            </w:r>
            <w:r>
              <w:rPr>
                <w:rFonts w:hAnsi="宋体" w:asciiTheme="minorHAnsi" w:eastAsiaTheme="minorEastAsia" w:cstheme="minorBidi"/>
                <w:color w:val="auto"/>
              </w:rPr>
              <w:t>学分</w:t>
            </w:r>
          </w:p>
        </w:tc>
        <w:tc>
          <w:tcPr>
            <w:tcW w:w="1134" w:type="dxa"/>
          </w:tcPr>
          <w:p>
            <w:pPr>
              <w:spacing w:before="2" w:after="2" w:line="360" w:lineRule="exact"/>
              <w:jc w:val="center"/>
              <w:rPr>
                <w:rFonts w:hAnsi="宋体" w:asciiTheme="minorHAnsi" w:eastAsiaTheme="minorEastAsia" w:cstheme="minorBidi"/>
                <w:color w:val="auto"/>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auto"/>
              </w:rPr>
            </w:pPr>
            <w:r>
              <w:rPr>
                <w:rFonts w:hint="eastAsia" w:asciiTheme="minorHAnsi" w:hAnsiTheme="minorHAnsi" w:eastAsiaTheme="minorEastAsia" w:cstheme="minorBidi"/>
                <w:color w:val="auto"/>
              </w:rPr>
              <w:t>发展实践专题讲座</w:t>
            </w:r>
          </w:p>
        </w:tc>
        <w:tc>
          <w:tcPr>
            <w:tcW w:w="1134" w:type="dxa"/>
          </w:tcPr>
          <w:p>
            <w:pPr>
              <w:spacing w:before="2" w:after="2" w:line="360" w:lineRule="exact"/>
              <w:jc w:val="center"/>
              <w:rPr>
                <w:rFonts w:asciiTheme="minorHAnsi" w:hAnsiTheme="minorHAnsi" w:eastAsiaTheme="minorEastAsia" w:cstheme="minorBidi"/>
                <w:color w:val="auto"/>
              </w:rPr>
            </w:pPr>
            <w:r>
              <w:rPr>
                <w:rFonts w:hint="eastAsia" w:asciiTheme="minorHAnsi" w:hAnsiTheme="minorHAnsi" w:eastAsiaTheme="minorEastAsia" w:cstheme="minorBidi"/>
                <w:color w:val="auto"/>
              </w:rPr>
              <w:t>1学分</w:t>
            </w:r>
          </w:p>
        </w:tc>
        <w:tc>
          <w:tcPr>
            <w:tcW w:w="1134" w:type="dxa"/>
          </w:tcPr>
          <w:p>
            <w:pPr>
              <w:spacing w:before="2" w:after="2" w:line="360" w:lineRule="exact"/>
              <w:jc w:val="center"/>
              <w:rPr>
                <w:rFonts w:hAnsi="宋体" w:asciiTheme="minorHAnsi" w:eastAsiaTheme="minorEastAsia" w:cstheme="minorBidi"/>
                <w:color w:val="auto"/>
              </w:rPr>
            </w:pPr>
          </w:p>
        </w:tc>
      </w:tr>
    </w:tbl>
    <w:p>
      <w:pPr>
        <w:pStyle w:val="45"/>
      </w:pPr>
    </w:p>
    <w:p>
      <w:pPr>
        <w:pStyle w:val="45"/>
      </w:pPr>
      <w:r>
        <w:rPr>
          <w:rFonts w:hint="eastAsia"/>
        </w:rPr>
        <w:t>经导师同意</w:t>
      </w:r>
      <w:r>
        <w:t>，</w:t>
      </w:r>
      <w:r>
        <w:rPr>
          <w:rFonts w:hint="eastAsia"/>
        </w:rPr>
        <w:t>学生也</w:t>
      </w:r>
      <w:r>
        <w:t>可以选修本校开设的其他研究生课程</w:t>
      </w:r>
      <w:r>
        <w:rPr>
          <w:rFonts w:hint="eastAsia"/>
        </w:rPr>
        <w:t>（中文</w:t>
      </w:r>
      <w:r>
        <w:rPr>
          <w:rFonts w:hint="eastAsia" w:ascii="宋体"/>
        </w:rPr>
        <w:t>或英文</w:t>
      </w:r>
      <w:r>
        <w:rPr>
          <w:rFonts w:hint="eastAsia"/>
        </w:rPr>
        <w:t>）</w:t>
      </w:r>
      <w:r>
        <w:t>。</w:t>
      </w:r>
    </w:p>
    <w:p>
      <w:pPr>
        <w:pStyle w:val="4"/>
        <w:ind w:firstLine="141" w:firstLineChars="50"/>
        <w:rPr>
          <w:sz w:val="28"/>
          <w:szCs w:val="28"/>
        </w:rPr>
      </w:pPr>
      <w:r>
        <w:rPr>
          <w:rFonts w:hint="eastAsia"/>
          <w:sz w:val="28"/>
          <w:szCs w:val="28"/>
        </w:rPr>
        <w:t>社会实践必修环节（7学分）</w:t>
      </w:r>
    </w:p>
    <w:tbl>
      <w:tblPr>
        <w:tblStyle w:val="23"/>
        <w:tblW w:w="8613" w:type="dxa"/>
        <w:tblInd w:w="0" w:type="dxa"/>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45"/>
        <w:gridCol w:w="1134"/>
        <w:gridCol w:w="1134"/>
      </w:tblGrid>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中国发展实践考察</w:t>
            </w:r>
          </w:p>
        </w:tc>
        <w:tc>
          <w:tcPr>
            <w:tcW w:w="1134" w:type="dxa"/>
          </w:tcPr>
          <w:p>
            <w:pPr>
              <w:spacing w:before="2" w:after="2"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3学分</w:t>
            </w:r>
          </w:p>
        </w:tc>
        <w:tc>
          <w:tcPr>
            <w:tcW w:w="1134" w:type="dxa"/>
          </w:tcPr>
          <w:p>
            <w:pPr>
              <w:spacing w:before="2" w:after="2" w:line="360" w:lineRule="exact"/>
              <w:ind w:firstLine="105" w:firstLineChars="50"/>
              <w:jc w:val="center"/>
              <w:rPr>
                <w:rFonts w:asciiTheme="minorHAnsi" w:hAnsiTheme="minorHAnsi" w:eastAsiaTheme="minorEastAsia" w:cstheme="minorBidi"/>
                <w:color w:val="000000" w:themeColor="text1"/>
                <w14:textFill>
                  <w14:solidFill>
                    <w14:schemeClr w14:val="tx1"/>
                  </w14:solidFill>
                </w14:textFill>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文献综述与选题报告</w:t>
            </w:r>
          </w:p>
        </w:tc>
        <w:tc>
          <w:tcPr>
            <w:tcW w:w="1134" w:type="dxa"/>
          </w:tcPr>
          <w:p>
            <w:pPr>
              <w:spacing w:before="2" w:after="2"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1学分</w:t>
            </w:r>
          </w:p>
        </w:tc>
        <w:tc>
          <w:tcPr>
            <w:tcW w:w="1134" w:type="dxa"/>
          </w:tcPr>
          <w:p>
            <w:pPr>
              <w:spacing w:before="2" w:after="2" w:line="360" w:lineRule="exact"/>
              <w:ind w:firstLine="105" w:firstLineChars="50"/>
              <w:jc w:val="center"/>
              <w:rPr>
                <w:rFonts w:asciiTheme="minorHAnsi" w:hAnsiTheme="minorHAnsi" w:eastAsiaTheme="minorEastAsia" w:cstheme="minorBidi"/>
                <w:color w:val="000000" w:themeColor="text1"/>
                <w14:textFill>
                  <w14:solidFill>
                    <w14:schemeClr w14:val="tx1"/>
                  </w14:solidFill>
                </w14:textFill>
              </w:rPr>
            </w:pPr>
          </w:p>
        </w:tc>
      </w:tr>
      <w:tr>
        <w:tblPrEx>
          <w:tblBorders>
            <w:top w:val="single" w:color="8064A2" w:themeColor="accent4" w:sz="8" w:space="0"/>
            <w:left w:val="none" w:color="auto" w:sz="0" w:space="0"/>
            <w:bottom w:val="single" w:color="8064A2"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trPr>
        <w:tc>
          <w:tcPr>
            <w:tcW w:w="6345" w:type="dxa"/>
          </w:tcPr>
          <w:p>
            <w:pPr>
              <w:numPr>
                <w:ilvl w:val="0"/>
                <w:numId w:val="5"/>
              </w:numPr>
              <w:tabs>
                <w:tab w:val="left" w:pos="170"/>
              </w:tabs>
              <w:adjustRightInd w:val="0"/>
              <w:snapToGrid w:val="0"/>
              <w:spacing w:before="62" w:beforeLines="20" w:after="62" w:afterLines="20"/>
              <w:ind w:hangingChars="81"/>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独立研究</w:t>
            </w:r>
          </w:p>
        </w:tc>
        <w:tc>
          <w:tcPr>
            <w:tcW w:w="1134" w:type="dxa"/>
          </w:tcPr>
          <w:p>
            <w:pPr>
              <w:spacing w:before="2" w:after="2" w:line="360" w:lineRule="exact"/>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3学分</w:t>
            </w:r>
          </w:p>
        </w:tc>
        <w:tc>
          <w:tcPr>
            <w:tcW w:w="1134" w:type="dxa"/>
          </w:tcPr>
          <w:p>
            <w:pPr>
              <w:spacing w:before="2" w:after="2" w:line="360" w:lineRule="exact"/>
              <w:ind w:firstLine="105" w:firstLineChars="50"/>
              <w:jc w:val="center"/>
              <w:rPr>
                <w:rFonts w:asciiTheme="minorHAnsi" w:hAnsiTheme="minorHAnsi" w:eastAsiaTheme="minorEastAsia" w:cstheme="minorBidi"/>
                <w:color w:val="000000" w:themeColor="text1"/>
                <w14:textFill>
                  <w14:solidFill>
                    <w14:schemeClr w14:val="tx1"/>
                  </w14:solidFill>
                </w14:textFill>
              </w:rPr>
            </w:pPr>
          </w:p>
        </w:tc>
      </w:tr>
    </w:tbl>
    <w:p>
      <w:pPr>
        <w:pStyle w:val="3"/>
        <w:ind w:firstLine="161" w:firstLineChars="50"/>
      </w:pPr>
      <w:r>
        <w:rPr>
          <w:rFonts w:hint="eastAsia"/>
        </w:rPr>
        <w:t>硕士学位论文要求</w:t>
      </w:r>
    </w:p>
    <w:p>
      <w:pPr>
        <w:spacing w:line="360" w:lineRule="exact"/>
        <w:ind w:left="315" w:leftChars="150" w:firstLine="120" w:firstLineChars="50"/>
        <w:rPr>
          <w:rFonts w:ascii="宋体" w:hAnsi="宋体" w:cs="宋体"/>
          <w:sz w:val="24"/>
          <w:szCs w:val="24"/>
        </w:rPr>
      </w:pPr>
      <w:r>
        <w:rPr>
          <w:rFonts w:hAnsi="宋体"/>
          <w:sz w:val="24"/>
          <w:szCs w:val="24"/>
        </w:rPr>
        <w:t>硕士学位论文要求</w:t>
      </w:r>
      <w:r>
        <w:rPr>
          <w:rFonts w:hint="eastAsia" w:hAnsi="宋体"/>
          <w:sz w:val="24"/>
          <w:szCs w:val="24"/>
        </w:rPr>
        <w:t>用英</w:t>
      </w:r>
      <w:r>
        <w:rPr>
          <w:rFonts w:hAnsi="宋体"/>
          <w:sz w:val="24"/>
          <w:szCs w:val="24"/>
        </w:rPr>
        <w:t>文书写。有关学位论文的</w:t>
      </w:r>
      <w:r>
        <w:rPr>
          <w:rFonts w:hint="eastAsia" w:hAnsi="宋体"/>
          <w:sz w:val="24"/>
          <w:szCs w:val="24"/>
        </w:rPr>
        <w:t>具体</w:t>
      </w:r>
      <w:r>
        <w:rPr>
          <w:rFonts w:hAnsi="宋体"/>
          <w:sz w:val="24"/>
          <w:szCs w:val="24"/>
        </w:rPr>
        <w:t>要求</w:t>
      </w:r>
      <w:r>
        <w:rPr>
          <w:rFonts w:hint="eastAsia" w:hAnsi="宋体"/>
          <w:sz w:val="24"/>
          <w:szCs w:val="24"/>
        </w:rPr>
        <w:t>由学院另行规定。</w:t>
      </w:r>
    </w:p>
    <w:p>
      <w:pPr>
        <w:spacing w:line="360" w:lineRule="exact"/>
        <w:ind w:left="315" w:leftChars="150" w:firstLine="120" w:firstLineChars="50"/>
        <w:rPr>
          <w:rFonts w:hAnsi="宋体"/>
          <w:sz w:val="24"/>
          <w:szCs w:val="24"/>
        </w:rPr>
      </w:pPr>
      <w:r>
        <w:rPr>
          <w:rFonts w:hint="eastAsia" w:hAnsi="宋体"/>
          <w:sz w:val="24"/>
          <w:szCs w:val="24"/>
        </w:rPr>
        <w:t>注</w:t>
      </w:r>
      <w:r>
        <w:rPr>
          <w:rFonts w:hint="eastAsia" w:ascii="宋体" w:hAnsi="宋体" w:cs="宋体"/>
          <w:sz w:val="24"/>
          <w:szCs w:val="24"/>
        </w:rPr>
        <w:t>：</w:t>
      </w:r>
    </w:p>
    <w:p>
      <w:pPr>
        <w:autoSpaceDE w:val="0"/>
        <w:autoSpaceDN w:val="0"/>
        <w:adjustRightInd w:val="0"/>
        <w:spacing w:before="2" w:after="2"/>
        <w:jc w:val="left"/>
        <w:rPr>
          <w:rFonts w:ascii="宋体" w:hAnsi="宋体" w:cs="宋体"/>
          <w:sz w:val="24"/>
          <w:szCs w:val="24"/>
        </w:rPr>
      </w:pPr>
      <w:r>
        <w:rPr>
          <w:rFonts w:hint="eastAsia" w:hAnsi="宋体"/>
          <w:sz w:val="24"/>
          <w:szCs w:val="24"/>
        </w:rPr>
        <w:t xml:space="preserve"> </w:t>
      </w:r>
      <w:r>
        <w:rPr>
          <w:rFonts w:hint="eastAsia" w:ascii="宋体" w:hAnsi="宋体" w:cs="宋体"/>
          <w:sz w:val="24"/>
          <w:szCs w:val="24"/>
        </w:rPr>
        <w:t xml:space="preserve">   * 《</w:t>
      </w:r>
      <w:r>
        <w:rPr>
          <w:rFonts w:hint="eastAsia" w:hAnsi="宋体"/>
          <w:sz w:val="24"/>
          <w:szCs w:val="24"/>
        </w:rPr>
        <w:t>中国发展实践考察》：要求学生在</w:t>
      </w:r>
      <w:r>
        <w:rPr>
          <w:rFonts w:hAnsi="宋体"/>
          <w:sz w:val="24"/>
          <w:szCs w:val="24"/>
        </w:rPr>
        <w:t>3</w:t>
      </w:r>
      <w:r>
        <w:rPr>
          <w:rFonts w:hint="eastAsia" w:hAnsi="宋体"/>
          <w:sz w:val="24"/>
          <w:szCs w:val="24"/>
        </w:rPr>
        <w:t>学期内完成不少于</w:t>
      </w:r>
      <w:r>
        <w:rPr>
          <w:rFonts w:hAnsi="宋体"/>
          <w:sz w:val="24"/>
          <w:szCs w:val="24"/>
        </w:rPr>
        <w:t>6</w:t>
      </w:r>
      <w:r>
        <w:rPr>
          <w:rFonts w:hint="eastAsia" w:hAnsi="宋体"/>
          <w:sz w:val="24"/>
          <w:szCs w:val="24"/>
        </w:rPr>
        <w:t>天工作量的由项目办组织的实践考察，递交考察报告（</w:t>
      </w:r>
      <w:r>
        <w:rPr>
          <w:rFonts w:hAnsi="宋体"/>
          <w:sz w:val="24"/>
          <w:szCs w:val="24"/>
        </w:rPr>
        <w:t>reflection paper</w:t>
      </w:r>
      <w:r>
        <w:rPr>
          <w:rFonts w:hint="eastAsia" w:hAnsi="宋体"/>
          <w:sz w:val="24"/>
          <w:szCs w:val="24"/>
        </w:rPr>
        <w:t>）</w:t>
      </w:r>
    </w:p>
    <w:p>
      <w:pPr>
        <w:autoSpaceDE w:val="0"/>
        <w:autoSpaceDN w:val="0"/>
        <w:adjustRightInd w:val="0"/>
        <w:spacing w:before="2" w:after="2"/>
        <w:ind w:firstLine="480"/>
        <w:jc w:val="left"/>
        <w:rPr>
          <w:rFonts w:hAnsi="宋体"/>
          <w:sz w:val="24"/>
          <w:szCs w:val="24"/>
        </w:rPr>
      </w:pPr>
      <w:r>
        <w:rPr>
          <w:rFonts w:hint="eastAsia" w:ascii="宋体" w:hAnsi="宋体" w:cs="宋体"/>
          <w:sz w:val="24"/>
          <w:szCs w:val="24"/>
        </w:rPr>
        <w:t>* 《</w:t>
      </w:r>
      <w:r>
        <w:rPr>
          <w:rFonts w:hint="eastAsia" w:hAnsi="宋体"/>
          <w:sz w:val="24"/>
          <w:szCs w:val="24"/>
        </w:rPr>
        <w:t>发展实践专题讲座</w:t>
      </w:r>
      <w:r>
        <w:rPr>
          <w:rFonts w:hint="eastAsia" w:ascii="宋体" w:hAnsi="宋体" w:cs="宋体"/>
          <w:sz w:val="24"/>
          <w:szCs w:val="24"/>
        </w:rPr>
        <w:t>》：要求学生</w:t>
      </w:r>
      <w:r>
        <w:rPr>
          <w:rFonts w:hint="eastAsia" w:hAnsi="宋体"/>
          <w:sz w:val="24"/>
          <w:szCs w:val="24"/>
        </w:rPr>
        <w:t>在1学期内参与16小时（1</w:t>
      </w:r>
      <w:r>
        <w:rPr>
          <w:rFonts w:hint="eastAsia" w:ascii="宋体" w:hAnsi="宋体" w:cs="宋体"/>
          <w:sz w:val="24"/>
          <w:szCs w:val="24"/>
        </w:rPr>
        <w:t>学分</w:t>
      </w:r>
      <w:r>
        <w:rPr>
          <w:rFonts w:hint="eastAsia" w:hAnsi="宋体"/>
          <w:sz w:val="24"/>
          <w:szCs w:val="24"/>
        </w:rPr>
        <w:t>）工作量的项目办组织或认可的院内讲座</w:t>
      </w:r>
      <w:r>
        <w:rPr>
          <w:rFonts w:hint="eastAsia" w:ascii="宋体" w:hAnsi="宋体" w:cs="宋体"/>
          <w:sz w:val="24"/>
          <w:szCs w:val="24"/>
        </w:rPr>
        <w:t>，</w:t>
      </w:r>
      <w:r>
        <w:rPr>
          <w:rFonts w:hint="eastAsia" w:hAnsi="宋体"/>
          <w:sz w:val="24"/>
          <w:szCs w:val="24"/>
        </w:rPr>
        <w:t>递交课程报告。</w:t>
      </w:r>
    </w:p>
    <w:p>
      <w:pPr>
        <w:widowControl/>
        <w:jc w:val="left"/>
        <w:rPr>
          <w:b/>
          <w:bCs/>
          <w:lang w:val="fr-FR"/>
        </w:rPr>
      </w:pPr>
    </w:p>
    <w:p>
      <w:pPr>
        <w:widowControl/>
        <w:jc w:val="left"/>
        <w:rPr>
          <w:b/>
          <w:bCs/>
          <w:lang w:val="fr-FR"/>
        </w:rPr>
      </w:pPr>
    </w:p>
    <w:p>
      <w:pPr>
        <w:rPr>
          <w:sz w:val="28"/>
          <w:szCs w:val="28"/>
        </w:rPr>
      </w:pPr>
      <w:r>
        <w:rPr>
          <w:rFonts w:hint="eastAsia" w:hAnsi="宋体"/>
          <w:sz w:val="28"/>
          <w:szCs w:val="28"/>
        </w:rPr>
        <w:t>三、课程介绍（中文翻译略，请参考英文招生简章）</w:t>
      </w:r>
    </w:p>
    <w:p>
      <w:pPr>
        <w:rPr>
          <w:sz w:val="28"/>
          <w:szCs w:val="28"/>
        </w:rPr>
      </w:pPr>
    </w:p>
    <w:p>
      <w:pPr>
        <w:rPr>
          <w:sz w:val="28"/>
          <w:szCs w:val="28"/>
        </w:rPr>
      </w:pPr>
      <w:r>
        <w:rPr>
          <w:rFonts w:hint="eastAsia" w:hAnsi="宋体"/>
          <w:sz w:val="28"/>
          <w:szCs w:val="28"/>
        </w:rPr>
        <w:t>四、现任教师（中文翻译略，请参考英文招生简章）</w:t>
      </w:r>
    </w:p>
    <w:p>
      <w:pPr>
        <w:rPr>
          <w:sz w:val="28"/>
          <w:szCs w:val="28"/>
        </w:rPr>
      </w:pPr>
    </w:p>
    <w:p>
      <w:pPr>
        <w:rPr>
          <w:rFonts w:hAnsi="宋体"/>
          <w:sz w:val="28"/>
          <w:szCs w:val="28"/>
        </w:rPr>
      </w:pPr>
      <w:r>
        <w:rPr>
          <w:rFonts w:hint="eastAsia" w:hAnsi="宋体"/>
          <w:sz w:val="28"/>
          <w:szCs w:val="28"/>
        </w:rPr>
        <w:t>五、申请信息</w:t>
      </w:r>
    </w:p>
    <w:p>
      <w:pPr>
        <w:pStyle w:val="10"/>
        <w:spacing w:line="300" w:lineRule="auto"/>
        <w:jc w:val="left"/>
        <w:rPr>
          <w:rFonts w:ascii="Times New Roman" w:hAnsi="宋体"/>
          <w:b/>
          <w:bCs/>
          <w:sz w:val="24"/>
          <w:szCs w:val="24"/>
        </w:rPr>
      </w:pPr>
      <w:bookmarkStart w:id="2" w:name="OLE_LINK4"/>
      <w:bookmarkStart w:id="3" w:name="OLE_LINK5"/>
      <w:r>
        <w:rPr>
          <w:rFonts w:hint="eastAsia" w:ascii="Times New Roman" w:hAnsi="宋体"/>
          <w:b/>
          <w:bCs/>
          <w:sz w:val="24"/>
          <w:szCs w:val="24"/>
        </w:rPr>
        <w:t>招生对象</w:t>
      </w:r>
    </w:p>
    <w:p>
      <w:pPr>
        <w:pStyle w:val="42"/>
        <w:numPr>
          <w:ilvl w:val="0"/>
          <w:numId w:val="8"/>
        </w:numPr>
        <w:ind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来自发展中国家政府、NGO、高校、媒体、企业等领域，并有志于从事公共管理事业；</w:t>
      </w:r>
    </w:p>
    <w:p>
      <w:pPr>
        <w:pStyle w:val="42"/>
        <w:numPr>
          <w:ilvl w:val="0"/>
          <w:numId w:val="8"/>
        </w:numPr>
        <w:ind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35岁以下，3-5年工作经验；</w:t>
      </w:r>
    </w:p>
    <w:p>
      <w:pPr>
        <w:pStyle w:val="42"/>
        <w:numPr>
          <w:ilvl w:val="0"/>
          <w:numId w:val="8"/>
        </w:numPr>
        <w:ind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具有本科学历；</w:t>
      </w:r>
    </w:p>
    <w:p>
      <w:pPr>
        <w:pStyle w:val="42"/>
        <w:numPr>
          <w:ilvl w:val="0"/>
          <w:numId w:val="8"/>
        </w:numPr>
        <w:ind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具有良好的学术基础、较强的研究能力和较高的英语水平。</w:t>
      </w:r>
    </w:p>
    <w:p>
      <w:pPr>
        <w:pStyle w:val="42"/>
        <w:ind w:left="360" w:firstLine="0" w:firstLineChars="0"/>
        <w:rPr>
          <w:sz w:val="24"/>
        </w:rPr>
      </w:pPr>
    </w:p>
    <w:p>
      <w:pPr>
        <w:pStyle w:val="10"/>
        <w:spacing w:line="300" w:lineRule="auto"/>
        <w:jc w:val="left"/>
        <w:rPr>
          <w:rFonts w:ascii="Times New Roman" w:hAnsi="宋体"/>
          <w:b/>
          <w:bCs/>
          <w:sz w:val="24"/>
          <w:szCs w:val="24"/>
        </w:rPr>
      </w:pPr>
      <w:r>
        <w:rPr>
          <w:rFonts w:hint="eastAsia" w:ascii="Times New Roman" w:hAnsi="宋体"/>
          <w:b/>
          <w:bCs/>
          <w:sz w:val="24"/>
          <w:szCs w:val="24"/>
        </w:rPr>
        <w:t>申请材料</w:t>
      </w:r>
    </w:p>
    <w:p>
      <w:pPr>
        <w:widowControl/>
        <w:numPr>
          <w:ilvl w:val="0"/>
          <w:numId w:val="9"/>
        </w:numPr>
        <w:jc w:val="left"/>
        <w:rPr>
          <w:rStyle w:val="40"/>
          <w:sz w:val="20"/>
          <w:szCs w:val="20"/>
        </w:rPr>
      </w:pPr>
      <w:r>
        <w:rPr>
          <w:rFonts w:hint="eastAsia"/>
          <w:sz w:val="20"/>
          <w:szCs w:val="20"/>
        </w:rPr>
        <w:t>申请者本人签字的《清华大学外国留学生研究生项目申请表》原件，并</w:t>
      </w:r>
      <w:r>
        <w:rPr>
          <w:rFonts w:hint="eastAsia"/>
          <w:sz w:val="20"/>
          <w:szCs w:val="20"/>
          <w:u w:val="single"/>
        </w:rPr>
        <w:t>在“经费来源”一栏注明“商务部资助”</w:t>
      </w:r>
      <w:r>
        <w:rPr>
          <w:rFonts w:hint="eastAsia"/>
          <w:sz w:val="20"/>
          <w:szCs w:val="20"/>
        </w:rPr>
        <w:t>，贴</w:t>
      </w:r>
      <w:r>
        <w:rPr>
          <w:sz w:val="20"/>
          <w:szCs w:val="20"/>
        </w:rPr>
        <w:t>2</w:t>
      </w:r>
      <w:r>
        <w:rPr>
          <w:rFonts w:hint="eastAsia"/>
          <w:sz w:val="20"/>
          <w:szCs w:val="20"/>
        </w:rPr>
        <w:t>寸近期照片</w:t>
      </w:r>
      <w:r>
        <w:rPr>
          <w:sz w:val="20"/>
          <w:szCs w:val="20"/>
        </w:rPr>
        <w:t xml:space="preserve"> (</w:t>
      </w:r>
      <w:r>
        <w:rPr>
          <w:rFonts w:hint="eastAsia"/>
          <w:sz w:val="20"/>
          <w:szCs w:val="20"/>
        </w:rPr>
        <w:t>详见申请程序第</w:t>
      </w:r>
      <w:r>
        <w:rPr>
          <w:sz w:val="20"/>
          <w:szCs w:val="20"/>
        </w:rPr>
        <w:t>2</w:t>
      </w:r>
      <w:r>
        <w:rPr>
          <w:rFonts w:hint="eastAsia"/>
          <w:sz w:val="20"/>
          <w:szCs w:val="20"/>
        </w:rPr>
        <w:t>条。</w:t>
      </w:r>
      <w:r>
        <w:rPr>
          <w:sz w:val="20"/>
          <w:szCs w:val="20"/>
        </w:rPr>
        <w:t>)</w:t>
      </w:r>
      <w:r>
        <w:rPr>
          <w:rFonts w:hint="eastAsia"/>
          <w:sz w:val="20"/>
          <w:szCs w:val="20"/>
        </w:rPr>
        <w:t>；</w:t>
      </w:r>
    </w:p>
    <w:p>
      <w:pPr>
        <w:widowControl/>
        <w:numPr>
          <w:ilvl w:val="0"/>
          <w:numId w:val="9"/>
        </w:numPr>
        <w:jc w:val="left"/>
        <w:rPr>
          <w:rStyle w:val="40"/>
          <w:sz w:val="20"/>
          <w:szCs w:val="20"/>
        </w:rPr>
      </w:pPr>
      <w:r>
        <w:rPr>
          <w:rStyle w:val="40"/>
          <w:rFonts w:hint="eastAsia" w:hAnsi="宋体"/>
          <w:sz w:val="20"/>
          <w:szCs w:val="20"/>
        </w:rPr>
        <w:t>护照大小近照三张（一张照片应粘贴到申请表。）；</w:t>
      </w:r>
    </w:p>
    <w:p>
      <w:pPr>
        <w:widowControl/>
        <w:numPr>
          <w:ilvl w:val="0"/>
          <w:numId w:val="9"/>
        </w:numPr>
        <w:jc w:val="left"/>
        <w:rPr>
          <w:rStyle w:val="40"/>
          <w:sz w:val="20"/>
          <w:szCs w:val="20"/>
        </w:rPr>
      </w:pPr>
      <w:r>
        <w:rPr>
          <w:rStyle w:val="40"/>
          <w:rFonts w:hint="eastAsia" w:hAnsi="宋体"/>
          <w:sz w:val="20"/>
          <w:szCs w:val="20"/>
        </w:rPr>
        <w:t>本科学历证明，正式学位证书（公证复印件）；</w:t>
      </w:r>
    </w:p>
    <w:p>
      <w:pPr>
        <w:widowControl/>
        <w:numPr>
          <w:ilvl w:val="0"/>
          <w:numId w:val="9"/>
        </w:numPr>
        <w:jc w:val="left"/>
        <w:rPr>
          <w:rStyle w:val="40"/>
          <w:sz w:val="20"/>
          <w:szCs w:val="20"/>
        </w:rPr>
      </w:pPr>
      <w:r>
        <w:rPr>
          <w:rStyle w:val="40"/>
          <w:rFonts w:hint="eastAsia" w:hAnsi="宋体"/>
          <w:sz w:val="20"/>
          <w:szCs w:val="20"/>
        </w:rPr>
        <w:t>本科学历成绩单（原件或公证复印件）；</w:t>
      </w:r>
    </w:p>
    <w:p>
      <w:pPr>
        <w:widowControl/>
        <w:numPr>
          <w:ilvl w:val="0"/>
          <w:numId w:val="9"/>
        </w:numPr>
        <w:jc w:val="left"/>
        <w:rPr>
          <w:rStyle w:val="40"/>
          <w:sz w:val="20"/>
          <w:szCs w:val="20"/>
        </w:rPr>
      </w:pPr>
      <w:r>
        <w:rPr>
          <w:rStyle w:val="40"/>
          <w:rFonts w:hint="eastAsia" w:hAnsi="宋体"/>
          <w:sz w:val="20"/>
          <w:szCs w:val="20"/>
        </w:rPr>
        <w:t>个人简历；</w:t>
      </w:r>
    </w:p>
    <w:p>
      <w:pPr>
        <w:widowControl/>
        <w:numPr>
          <w:ilvl w:val="0"/>
          <w:numId w:val="9"/>
        </w:numPr>
        <w:jc w:val="left"/>
        <w:rPr>
          <w:rStyle w:val="40"/>
          <w:sz w:val="20"/>
          <w:szCs w:val="20"/>
        </w:rPr>
      </w:pPr>
      <w:r>
        <w:rPr>
          <w:rStyle w:val="40"/>
          <w:rFonts w:hint="eastAsia" w:hAnsi="宋体"/>
          <w:sz w:val="20"/>
          <w:szCs w:val="20"/>
        </w:rPr>
        <w:t>个人陈述：英文，至少2页A4纸，内容含：选择此学校与专业的动机、具有哪些优势或成绩完成该项目、学习计划、职业发展规划。</w:t>
      </w:r>
    </w:p>
    <w:p>
      <w:pPr>
        <w:widowControl/>
        <w:numPr>
          <w:ilvl w:val="0"/>
          <w:numId w:val="9"/>
        </w:numPr>
        <w:jc w:val="left"/>
        <w:rPr>
          <w:rStyle w:val="40"/>
          <w:sz w:val="20"/>
          <w:szCs w:val="20"/>
        </w:rPr>
      </w:pPr>
      <w:r>
        <w:rPr>
          <w:rStyle w:val="40"/>
          <w:sz w:val="20"/>
          <w:szCs w:val="20"/>
        </w:rPr>
        <w:t>2</w:t>
      </w:r>
      <w:r>
        <w:rPr>
          <w:rStyle w:val="40"/>
          <w:rFonts w:hint="eastAsia" w:hAnsi="宋体"/>
          <w:sz w:val="20"/>
          <w:szCs w:val="20"/>
        </w:rPr>
        <w:t>封推荐信：英文或中文原件；一封出自副教授(含)或以上专业技术职称、一封出自单位</w:t>
      </w:r>
      <w:r>
        <w:rPr>
          <w:rFonts w:hint="eastAsia" w:ascii="Arial" w:hAnsi="Arial" w:cs="Arial"/>
          <w:shd w:val="clear" w:color="auto" w:fill="FFFFFF"/>
        </w:rPr>
        <w:t>；</w:t>
      </w:r>
    </w:p>
    <w:p>
      <w:pPr>
        <w:widowControl/>
        <w:numPr>
          <w:ilvl w:val="0"/>
          <w:numId w:val="9"/>
        </w:numPr>
        <w:jc w:val="left"/>
        <w:rPr>
          <w:rStyle w:val="40"/>
          <w:sz w:val="20"/>
          <w:szCs w:val="20"/>
        </w:rPr>
      </w:pPr>
      <w:r>
        <w:rPr>
          <w:rStyle w:val="40"/>
          <w:rFonts w:hint="eastAsia" w:hAnsi="宋体"/>
          <w:sz w:val="20"/>
          <w:szCs w:val="20"/>
        </w:rPr>
        <w:t>护照复印件（护照应为</w:t>
      </w:r>
      <w:r>
        <w:rPr>
          <w:rStyle w:val="40"/>
          <w:rFonts w:hint="eastAsia" w:hAnsi="宋体"/>
          <w:sz w:val="20"/>
          <w:szCs w:val="20"/>
          <w:u w:val="single"/>
        </w:rPr>
        <w:t>个人普通护照</w:t>
      </w:r>
      <w:r>
        <w:rPr>
          <w:rStyle w:val="40"/>
          <w:rFonts w:hint="eastAsia" w:hAnsi="宋体"/>
          <w:sz w:val="20"/>
          <w:szCs w:val="20"/>
        </w:rPr>
        <w:t>）；</w:t>
      </w:r>
    </w:p>
    <w:p>
      <w:pPr>
        <w:widowControl/>
        <w:numPr>
          <w:ilvl w:val="0"/>
          <w:numId w:val="9"/>
        </w:numPr>
        <w:jc w:val="left"/>
        <w:rPr>
          <w:rStyle w:val="40"/>
          <w:sz w:val="20"/>
          <w:szCs w:val="20"/>
        </w:rPr>
      </w:pPr>
      <w:r>
        <w:rPr>
          <w:rStyle w:val="40"/>
          <w:rFonts w:hint="eastAsia" w:hAnsi="宋体"/>
          <w:sz w:val="20"/>
          <w:szCs w:val="20"/>
        </w:rPr>
        <w:t>英语语言能力测试成绩（若申请者母语为非英语或高等教育阶段授课语言为非英语，则提供托福85分或以上或雅思6.5分或以上考试成绩证明），或提供相应语言水平证明。</w:t>
      </w:r>
    </w:p>
    <w:p>
      <w:pPr>
        <w:widowControl/>
        <w:numPr>
          <w:ilvl w:val="0"/>
          <w:numId w:val="9"/>
        </w:numPr>
        <w:jc w:val="left"/>
        <w:rPr>
          <w:rStyle w:val="40"/>
          <w:color w:val="000000"/>
          <w:sz w:val="20"/>
          <w:szCs w:val="20"/>
        </w:rPr>
      </w:pPr>
      <w:r>
        <w:rPr>
          <w:rStyle w:val="40"/>
          <w:rFonts w:hint="eastAsia" w:hAnsi="宋体"/>
          <w:color w:val="000000"/>
          <w:sz w:val="20"/>
          <w:szCs w:val="20"/>
        </w:rPr>
        <w:t>《外国人体格检查表》；</w:t>
      </w:r>
    </w:p>
    <w:p>
      <w:pPr>
        <w:widowControl/>
        <w:numPr>
          <w:ilvl w:val="0"/>
          <w:numId w:val="9"/>
        </w:numPr>
        <w:jc w:val="left"/>
        <w:rPr>
          <w:rStyle w:val="40"/>
          <w:color w:val="000000"/>
          <w:sz w:val="20"/>
          <w:szCs w:val="20"/>
        </w:rPr>
      </w:pPr>
      <w:r>
        <w:rPr>
          <w:rStyle w:val="40"/>
          <w:rFonts w:hint="eastAsia" w:hAnsi="宋体"/>
          <w:color w:val="000000"/>
          <w:sz w:val="20"/>
          <w:szCs w:val="20"/>
        </w:rPr>
        <w:t>《中国政府奖学金申请表》。</w:t>
      </w:r>
    </w:p>
    <w:bookmarkEnd w:id="2"/>
    <w:bookmarkEnd w:id="3"/>
    <w:p>
      <w:pPr>
        <w:widowControl/>
        <w:jc w:val="left"/>
        <w:rPr>
          <w:color w:val="000000"/>
        </w:rPr>
      </w:pPr>
      <w:r>
        <w:rPr>
          <w:color w:val="000000"/>
        </w:rPr>
        <w:t xml:space="preserve">    </w:t>
      </w:r>
    </w:p>
    <w:p>
      <w:pPr>
        <w:widowControl/>
        <w:ind w:left="360"/>
        <w:jc w:val="left"/>
        <w:rPr>
          <w:rStyle w:val="40"/>
          <w:b/>
          <w:color w:val="000000"/>
          <w:sz w:val="20"/>
          <w:szCs w:val="20"/>
        </w:rPr>
      </w:pPr>
      <w:r>
        <w:rPr>
          <w:rStyle w:val="40"/>
          <w:rFonts w:hint="eastAsia" w:hAnsi="宋体"/>
          <w:b/>
          <w:color w:val="000000"/>
          <w:sz w:val="20"/>
          <w:szCs w:val="20"/>
        </w:rPr>
        <w:t>申请材料应为</w:t>
      </w:r>
      <w:r>
        <w:rPr>
          <w:rStyle w:val="40"/>
          <w:rFonts w:hint="eastAsia" w:hAnsi="宋体"/>
          <w:b/>
          <w:color w:val="000000"/>
          <w:sz w:val="20"/>
          <w:szCs w:val="20"/>
          <w:u w:val="single"/>
        </w:rPr>
        <w:t>中文或英文</w:t>
      </w:r>
      <w:r>
        <w:rPr>
          <w:rStyle w:val="40"/>
          <w:rFonts w:hint="eastAsia" w:hAnsi="宋体"/>
          <w:b/>
          <w:color w:val="000000"/>
          <w:sz w:val="20"/>
          <w:szCs w:val="20"/>
        </w:rPr>
        <w:t>原件，或者</w:t>
      </w:r>
      <w:r>
        <w:rPr>
          <w:rStyle w:val="40"/>
          <w:rFonts w:hint="eastAsia" w:hAnsi="宋体"/>
          <w:b/>
          <w:color w:val="000000"/>
          <w:sz w:val="20"/>
          <w:szCs w:val="20"/>
          <w:u w:val="single"/>
        </w:rPr>
        <w:t>中文或英文</w:t>
      </w:r>
      <w:r>
        <w:rPr>
          <w:rStyle w:val="40"/>
          <w:rFonts w:hint="eastAsia" w:hAnsi="宋体"/>
          <w:b/>
          <w:color w:val="000000"/>
          <w:sz w:val="20"/>
          <w:szCs w:val="20"/>
        </w:rPr>
        <w:t>公证原件。</w:t>
      </w:r>
    </w:p>
    <w:p>
      <w:pPr>
        <w:widowControl/>
        <w:ind w:left="360"/>
        <w:jc w:val="left"/>
        <w:rPr>
          <w:b/>
          <w:color w:val="000000"/>
          <w:sz w:val="20"/>
          <w:szCs w:val="20"/>
        </w:rPr>
      </w:pPr>
    </w:p>
    <w:p>
      <w:pPr>
        <w:widowControl/>
        <w:ind w:left="360"/>
        <w:jc w:val="left"/>
        <w:rPr>
          <w:b/>
          <w:color w:val="000000"/>
          <w:sz w:val="20"/>
          <w:szCs w:val="20"/>
        </w:rPr>
      </w:pPr>
      <w:r>
        <w:rPr>
          <w:rStyle w:val="40"/>
          <w:rFonts w:hint="eastAsia" w:hAnsi="宋体"/>
          <w:b/>
          <w:color w:val="000000"/>
          <w:sz w:val="20"/>
          <w:szCs w:val="20"/>
        </w:rPr>
        <w:t>上述申请材料概不退还。</w:t>
      </w:r>
    </w:p>
    <w:p>
      <w:pPr>
        <w:widowControl/>
        <w:ind w:left="360"/>
        <w:jc w:val="left"/>
        <w:rPr>
          <w:b/>
          <w:color w:val="000000"/>
          <w:sz w:val="20"/>
          <w:szCs w:val="20"/>
        </w:rPr>
      </w:pPr>
    </w:p>
    <w:p>
      <w:pPr>
        <w:widowControl/>
        <w:ind w:left="360"/>
        <w:jc w:val="left"/>
        <w:rPr>
          <w:rStyle w:val="40"/>
          <w:rFonts w:hAnsi="宋体"/>
        </w:rPr>
      </w:pPr>
      <w:r>
        <w:rPr>
          <w:rStyle w:val="40"/>
          <w:rFonts w:hint="eastAsia" w:hAnsi="宋体"/>
          <w:b/>
          <w:color w:val="000000"/>
          <w:sz w:val="20"/>
          <w:szCs w:val="20"/>
        </w:rPr>
        <w:t>申请人必须经过所在国中国大使馆</w:t>
      </w:r>
      <w:r>
        <w:rPr>
          <w:rStyle w:val="40"/>
          <w:rFonts w:hint="eastAsia" w:hAnsi="宋体"/>
          <w:b/>
          <w:color w:val="000000"/>
          <w:sz w:val="20"/>
          <w:szCs w:val="20"/>
          <w:lang w:eastAsia="zh-CN"/>
        </w:rPr>
        <w:t>经商处</w:t>
      </w:r>
      <w:r>
        <w:rPr>
          <w:rStyle w:val="40"/>
          <w:rFonts w:hint="eastAsia" w:hAnsi="宋体"/>
          <w:b/>
          <w:color w:val="000000"/>
          <w:sz w:val="20"/>
          <w:szCs w:val="20"/>
        </w:rPr>
        <w:t>推荐方可被考虑录取。</w:t>
      </w:r>
    </w:p>
    <w:p>
      <w:pPr>
        <w:widowControl/>
        <w:jc w:val="left"/>
        <w:rPr>
          <w:b/>
          <w:color w:val="000000"/>
        </w:rPr>
      </w:pPr>
    </w:p>
    <w:p>
      <w:pPr>
        <w:pStyle w:val="10"/>
        <w:spacing w:line="300" w:lineRule="auto"/>
        <w:jc w:val="left"/>
        <w:rPr>
          <w:rFonts w:ascii="Times New Roman" w:hAnsi="Times New Roman"/>
          <w:b/>
          <w:bCs/>
          <w:sz w:val="24"/>
          <w:szCs w:val="24"/>
        </w:rPr>
      </w:pPr>
    </w:p>
    <w:p>
      <w:pPr>
        <w:pStyle w:val="10"/>
        <w:spacing w:line="300" w:lineRule="auto"/>
        <w:jc w:val="left"/>
        <w:rPr>
          <w:rFonts w:ascii="Times New Roman" w:hAnsi="宋体"/>
          <w:b/>
          <w:bCs/>
          <w:sz w:val="24"/>
          <w:szCs w:val="24"/>
        </w:rPr>
      </w:pPr>
      <w:r>
        <w:rPr>
          <w:rFonts w:hint="eastAsia" w:ascii="Times New Roman" w:hAnsi="宋体"/>
          <w:b/>
          <w:bCs/>
          <w:sz w:val="24"/>
          <w:szCs w:val="24"/>
        </w:rPr>
        <w:t>申请程序</w:t>
      </w:r>
    </w:p>
    <w:p>
      <w:pPr>
        <w:pStyle w:val="42"/>
        <w:widowControl/>
        <w:numPr>
          <w:ilvl w:val="0"/>
          <w:numId w:val="10"/>
        </w:numPr>
        <w:ind w:firstLineChars="0"/>
        <w:jc w:val="left"/>
        <w:rPr>
          <w:rStyle w:val="40"/>
          <w:rFonts w:hAnsi="宋体"/>
          <w:color w:val="000000"/>
          <w:sz w:val="20"/>
          <w:szCs w:val="20"/>
        </w:rPr>
      </w:pPr>
      <w:r>
        <w:rPr>
          <w:rStyle w:val="40"/>
          <w:rFonts w:hint="eastAsia" w:hAnsi="宋体"/>
          <w:color w:val="000000"/>
          <w:sz w:val="20"/>
          <w:szCs w:val="20"/>
        </w:rPr>
        <w:t>完成网上申请：</w:t>
      </w:r>
    </w:p>
    <w:p>
      <w:pPr>
        <w:pStyle w:val="42"/>
        <w:widowControl/>
        <w:ind w:left="360" w:firstLine="400"/>
        <w:jc w:val="left"/>
        <w:rPr>
          <w:rStyle w:val="40"/>
          <w:rFonts w:hAnsi="宋体"/>
          <w:color w:val="000000"/>
          <w:sz w:val="20"/>
          <w:szCs w:val="20"/>
          <w:u w:val="single"/>
        </w:rPr>
      </w:pPr>
      <w:r>
        <w:rPr>
          <w:rStyle w:val="40"/>
          <w:rFonts w:hint="eastAsia" w:ascii="Times New Roman" w:hAnsi="宋体"/>
          <w:color w:val="000000"/>
          <w:sz w:val="20"/>
          <w:szCs w:val="20"/>
          <w:u w:val="single"/>
        </w:rPr>
        <w:t>通过清华大学外国留学生工作办公室网站</w:t>
      </w:r>
      <w:r>
        <w:rPr>
          <w:rStyle w:val="40"/>
          <w:rFonts w:ascii="Times New Roman" w:hAnsi="宋体"/>
          <w:color w:val="000000"/>
          <w:sz w:val="20"/>
          <w:szCs w:val="20"/>
          <w:u w:val="single"/>
        </w:rPr>
        <w:t>(http://is.tsinghua.edu.cn)</w:t>
      </w:r>
      <w:r>
        <w:rPr>
          <w:rStyle w:val="40"/>
          <w:rFonts w:hint="eastAsia" w:ascii="Times New Roman" w:hAnsi="宋体"/>
          <w:color w:val="000000"/>
          <w:sz w:val="20"/>
          <w:szCs w:val="20"/>
          <w:u w:val="single"/>
        </w:rPr>
        <w:t>进行在线申请，请选择</w:t>
      </w:r>
      <w:r>
        <w:rPr>
          <w:rStyle w:val="40"/>
          <w:rFonts w:hint="eastAsia" w:ascii="Times New Roman" w:hAnsi="宋体"/>
          <w:b/>
          <w:color w:val="000000"/>
          <w:sz w:val="20"/>
          <w:szCs w:val="20"/>
          <w:u w:val="single"/>
        </w:rPr>
        <w:t>国际发展硕士项目</w:t>
      </w:r>
      <w:r>
        <w:rPr>
          <w:rStyle w:val="40"/>
          <w:rFonts w:hint="eastAsia" w:ascii="Times New Roman" w:hAnsi="宋体"/>
          <w:color w:val="000000"/>
          <w:sz w:val="20"/>
          <w:szCs w:val="20"/>
          <w:u w:val="single"/>
        </w:rPr>
        <w:t>，提交所需申请信息，并</w:t>
      </w:r>
      <w:r>
        <w:rPr>
          <w:rStyle w:val="40"/>
          <w:rFonts w:hint="eastAsia" w:ascii="Times New Roman" w:hAnsi="宋体"/>
          <w:b/>
          <w:color w:val="000000"/>
          <w:sz w:val="20"/>
          <w:szCs w:val="20"/>
          <w:u w:val="single"/>
        </w:rPr>
        <w:t>在“</w:t>
      </w:r>
      <w:r>
        <w:rPr>
          <w:rFonts w:hint="eastAsia"/>
          <w:b/>
          <w:sz w:val="20"/>
          <w:szCs w:val="20"/>
          <w:u w:val="single"/>
        </w:rPr>
        <w:t>经费来源”一栏注明“商务部资助”</w:t>
      </w:r>
      <w:r>
        <w:rPr>
          <w:rStyle w:val="40"/>
          <w:rFonts w:hint="eastAsia" w:ascii="Times New Roman" w:hAnsi="宋体"/>
          <w:color w:val="000000"/>
          <w:sz w:val="20"/>
          <w:szCs w:val="20"/>
          <w:u w:val="single"/>
        </w:rPr>
        <w:t>，待申请状态变为</w:t>
      </w:r>
      <w:r>
        <w:rPr>
          <w:rStyle w:val="40"/>
          <w:rFonts w:ascii="Times New Roman" w:hAnsi="宋体"/>
          <w:color w:val="000000"/>
          <w:sz w:val="20"/>
          <w:szCs w:val="20"/>
          <w:u w:val="single"/>
        </w:rPr>
        <w:t>"</w:t>
      </w:r>
      <w:r>
        <w:rPr>
          <w:rStyle w:val="40"/>
          <w:rFonts w:hint="eastAsia" w:ascii="Times New Roman" w:hAnsi="宋体"/>
          <w:color w:val="000000"/>
          <w:sz w:val="20"/>
          <w:szCs w:val="20"/>
          <w:u w:val="single"/>
        </w:rPr>
        <w:t>审核通过</w:t>
      </w:r>
      <w:r>
        <w:rPr>
          <w:rStyle w:val="40"/>
          <w:rFonts w:ascii="Times New Roman" w:hAnsi="宋体"/>
          <w:color w:val="000000"/>
          <w:sz w:val="20"/>
          <w:szCs w:val="20"/>
          <w:u w:val="single"/>
        </w:rPr>
        <w:t>"</w:t>
      </w:r>
      <w:r>
        <w:rPr>
          <w:rStyle w:val="40"/>
          <w:rFonts w:hint="eastAsia" w:ascii="Times New Roman" w:hAnsi="宋体"/>
          <w:color w:val="000000"/>
          <w:sz w:val="20"/>
          <w:szCs w:val="20"/>
          <w:u w:val="single"/>
        </w:rPr>
        <w:t>时，打印出系统自动生成的《清华大学外国留学生研究生项目申请表》，由申请者本人签名，贴上</w:t>
      </w:r>
      <w:r>
        <w:rPr>
          <w:rStyle w:val="40"/>
          <w:rFonts w:ascii="Times New Roman" w:hAnsi="宋体"/>
          <w:color w:val="000000"/>
          <w:sz w:val="20"/>
          <w:szCs w:val="20"/>
          <w:u w:val="single"/>
        </w:rPr>
        <w:t>2</w:t>
      </w:r>
      <w:r>
        <w:rPr>
          <w:rStyle w:val="40"/>
          <w:rFonts w:hint="eastAsia" w:ascii="Times New Roman" w:hAnsi="宋体"/>
          <w:color w:val="000000"/>
          <w:sz w:val="20"/>
          <w:szCs w:val="20"/>
          <w:u w:val="single"/>
        </w:rPr>
        <w:t>寸近期照片</w:t>
      </w:r>
      <w:r>
        <w:rPr>
          <w:rStyle w:val="40"/>
          <w:rFonts w:hint="eastAsia" w:hAnsi="宋体"/>
          <w:color w:val="000000"/>
          <w:sz w:val="20"/>
          <w:szCs w:val="20"/>
          <w:u w:val="single"/>
        </w:rPr>
        <w:t>，连同其他申请材料提交至中国大使馆经商处；</w:t>
      </w:r>
    </w:p>
    <w:p>
      <w:pPr>
        <w:pStyle w:val="42"/>
        <w:widowControl/>
        <w:ind w:left="360" w:firstLine="400"/>
        <w:jc w:val="left"/>
        <w:rPr>
          <w:rStyle w:val="40"/>
          <w:rFonts w:hAnsi="宋体"/>
          <w:color w:val="000000"/>
          <w:sz w:val="20"/>
          <w:szCs w:val="20"/>
          <w:u w:val="single"/>
        </w:rPr>
      </w:pPr>
    </w:p>
    <w:p>
      <w:pPr>
        <w:widowControl/>
        <w:numPr>
          <w:ilvl w:val="0"/>
          <w:numId w:val="10"/>
        </w:numPr>
        <w:jc w:val="left"/>
        <w:rPr>
          <w:rStyle w:val="40"/>
          <w:color w:val="000000"/>
          <w:sz w:val="20"/>
          <w:szCs w:val="20"/>
        </w:rPr>
      </w:pPr>
      <w:r>
        <w:rPr>
          <w:rStyle w:val="40"/>
          <w:rFonts w:hint="eastAsia" w:hAnsi="宋体"/>
          <w:color w:val="000000"/>
          <w:sz w:val="20"/>
          <w:szCs w:val="20"/>
        </w:rPr>
        <w:t>由申请人当前所在单位或组织向申请人本国中国大使馆经商处推荐并得到批准；</w:t>
      </w:r>
    </w:p>
    <w:p>
      <w:pPr>
        <w:widowControl/>
        <w:ind w:left="360"/>
        <w:jc w:val="left"/>
        <w:rPr>
          <w:rStyle w:val="40"/>
          <w:color w:val="000000"/>
          <w:sz w:val="20"/>
          <w:szCs w:val="20"/>
        </w:rPr>
      </w:pPr>
    </w:p>
    <w:p>
      <w:pPr>
        <w:widowControl/>
        <w:numPr>
          <w:ilvl w:val="0"/>
          <w:numId w:val="10"/>
        </w:numPr>
        <w:jc w:val="left"/>
        <w:rPr>
          <w:rStyle w:val="40"/>
          <w:sz w:val="20"/>
          <w:szCs w:val="20"/>
        </w:rPr>
      </w:pPr>
      <w:r>
        <w:rPr>
          <w:rStyle w:val="40"/>
          <w:rFonts w:hint="eastAsia"/>
          <w:color w:val="000000"/>
          <w:sz w:val="20"/>
          <w:szCs w:val="20"/>
        </w:rPr>
        <w:t>完成奖学金网上申请</w:t>
      </w:r>
      <w:r>
        <w:rPr>
          <w:rStyle w:val="40"/>
          <w:color w:val="000000"/>
          <w:sz w:val="20"/>
          <w:szCs w:val="20"/>
        </w:rPr>
        <w:t xml:space="preserve">: </w:t>
      </w:r>
    </w:p>
    <w:p>
      <w:pPr>
        <w:widowControl/>
        <w:ind w:left="360" w:firstLine="420" w:firstLineChars="200"/>
        <w:jc w:val="left"/>
        <w:rPr>
          <w:rStyle w:val="40"/>
          <w:sz w:val="20"/>
          <w:szCs w:val="20"/>
          <w:u w:val="single"/>
        </w:rPr>
      </w:pPr>
      <w:r>
        <w:fldChar w:fldCharType="begin"/>
      </w:r>
      <w:r>
        <w:instrText xml:space="preserve"> HYPERLINK "file:///E:\\SPPM-IMPA\\2013-2014学年IMPA\\IMPA\\2014预算\\援外培训项目汇总\\通过中国政府奖学金网上申请" </w:instrText>
      </w:r>
      <w:r>
        <w:fldChar w:fldCharType="separate"/>
      </w:r>
      <w:r>
        <w:rPr>
          <w:rStyle w:val="19"/>
          <w:rFonts w:hint="eastAsia" w:hAnsi="宋体"/>
          <w:sz w:val="20"/>
          <w:szCs w:val="20"/>
          <w:u w:val="single"/>
        </w:rPr>
        <w:t>通过中国政府奖学金网上申请</w:t>
      </w:r>
      <w:r>
        <w:rPr>
          <w:rStyle w:val="19"/>
          <w:rFonts w:hint="eastAsia" w:hAnsi="宋体"/>
          <w:sz w:val="20"/>
          <w:szCs w:val="20"/>
          <w:u w:val="single"/>
        </w:rPr>
        <w:fldChar w:fldCharType="end"/>
      </w:r>
      <w:r>
        <w:rPr>
          <w:rStyle w:val="40"/>
          <w:sz w:val="20"/>
          <w:szCs w:val="20"/>
          <w:u w:val="single"/>
        </w:rPr>
        <w:t>(</w:t>
      </w:r>
      <w:r>
        <w:fldChar w:fldCharType="begin"/>
      </w:r>
      <w:r>
        <w:instrText xml:space="preserve"> HYPERLINK "http://laihua.csc.edu.cn" </w:instrText>
      </w:r>
      <w:r>
        <w:fldChar w:fldCharType="separate"/>
      </w:r>
      <w:r>
        <w:rPr>
          <w:rStyle w:val="19"/>
          <w:sz w:val="20"/>
          <w:szCs w:val="20"/>
        </w:rPr>
        <w:t>http://laihua.csc.edu.cn</w:t>
      </w:r>
      <w:r>
        <w:rPr>
          <w:rStyle w:val="19"/>
          <w:sz w:val="20"/>
          <w:szCs w:val="20"/>
        </w:rPr>
        <w:fldChar w:fldCharType="end"/>
      </w:r>
      <w:r>
        <w:rPr>
          <w:rStyle w:val="40"/>
          <w:sz w:val="20"/>
          <w:szCs w:val="20"/>
          <w:u w:val="single"/>
        </w:rPr>
        <w:t>)</w:t>
      </w:r>
      <w:r>
        <w:rPr>
          <w:rFonts w:hint="eastAsia"/>
          <w:sz w:val="20"/>
          <w:szCs w:val="20"/>
          <w:u w:val="single"/>
        </w:rPr>
        <w:t>。</w:t>
      </w:r>
      <w:r>
        <w:rPr>
          <w:rStyle w:val="40"/>
          <w:rFonts w:hint="eastAsia"/>
          <w:sz w:val="20"/>
          <w:szCs w:val="20"/>
          <w:u w:val="single"/>
        </w:rPr>
        <w:t>清华大学代码为</w:t>
      </w:r>
      <w:r>
        <w:rPr>
          <w:rStyle w:val="40"/>
          <w:sz w:val="20"/>
          <w:szCs w:val="20"/>
          <w:u w:val="single"/>
        </w:rPr>
        <w:t>10003</w:t>
      </w:r>
      <w:r>
        <w:rPr>
          <w:rStyle w:val="40"/>
          <w:rFonts w:hint="eastAsia"/>
          <w:sz w:val="20"/>
          <w:szCs w:val="20"/>
          <w:u w:val="single"/>
        </w:rPr>
        <w:t>，打印出表格后，由申请者本人签名，贴上</w:t>
      </w:r>
      <w:r>
        <w:rPr>
          <w:rStyle w:val="40"/>
          <w:sz w:val="20"/>
          <w:szCs w:val="20"/>
          <w:u w:val="single"/>
        </w:rPr>
        <w:t>2</w:t>
      </w:r>
      <w:r>
        <w:rPr>
          <w:rStyle w:val="40"/>
          <w:rFonts w:hint="eastAsia"/>
          <w:sz w:val="20"/>
          <w:szCs w:val="20"/>
          <w:u w:val="single"/>
        </w:rPr>
        <w:t>寸近期照片，连同其他申请材料提交至中国大使馆经商处。</w:t>
      </w:r>
    </w:p>
    <w:p>
      <w:pPr>
        <w:widowControl/>
        <w:rPr>
          <w:sz w:val="20"/>
          <w:szCs w:val="20"/>
        </w:rPr>
      </w:pPr>
    </w:p>
    <w:p>
      <w:pPr>
        <w:widowControl/>
        <w:rPr>
          <w:sz w:val="20"/>
          <w:szCs w:val="20"/>
        </w:rPr>
      </w:pPr>
    </w:p>
    <w:p>
      <w:pPr>
        <w:widowControl/>
        <w:rPr>
          <w:sz w:val="20"/>
          <w:szCs w:val="20"/>
        </w:rPr>
      </w:pPr>
    </w:p>
    <w:p>
      <w:pPr>
        <w:pStyle w:val="10"/>
        <w:spacing w:line="300" w:lineRule="auto"/>
        <w:jc w:val="left"/>
        <w:rPr>
          <w:rFonts w:ascii="Times New Roman" w:hAnsi="宋体"/>
          <w:b/>
          <w:bCs/>
          <w:sz w:val="24"/>
          <w:szCs w:val="24"/>
        </w:rPr>
      </w:pPr>
      <w:r>
        <w:rPr>
          <w:rFonts w:hint="eastAsia" w:ascii="Times New Roman" w:hAnsi="宋体"/>
          <w:b/>
          <w:bCs/>
          <w:sz w:val="24"/>
          <w:szCs w:val="24"/>
        </w:rPr>
        <w:t>重要日期</w:t>
      </w:r>
    </w:p>
    <w:tbl>
      <w:tblPr>
        <w:tblStyle w:val="2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6"/>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5916" w:type="dxa"/>
            <w:vAlign w:val="center"/>
          </w:tcPr>
          <w:p>
            <w:pPr>
              <w:spacing w:before="156" w:beforeLines="50" w:after="156" w:afterLines="50"/>
              <w:jc w:val="center"/>
              <w:rPr>
                <w:b/>
              </w:rPr>
            </w:pPr>
            <w:r>
              <w:rPr>
                <w:rFonts w:hint="eastAsia"/>
                <w:b/>
              </w:rPr>
              <w:t>事项</w:t>
            </w:r>
          </w:p>
        </w:tc>
        <w:tc>
          <w:tcPr>
            <w:tcW w:w="2606" w:type="dxa"/>
            <w:vAlign w:val="center"/>
          </w:tcPr>
          <w:p>
            <w:pPr>
              <w:spacing w:before="156" w:beforeLines="50" w:after="156" w:afterLines="50"/>
              <w:jc w:val="center"/>
              <w:rPr>
                <w:b/>
                <w:u w:val="single"/>
              </w:rPr>
            </w:pPr>
            <w:r>
              <w:rPr>
                <w:rFonts w:hint="eastAsia"/>
                <w:b/>
                <w:u w:val="single"/>
              </w:rPr>
              <w:t>截止日期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5916" w:type="dxa"/>
            <w:vAlign w:val="center"/>
          </w:tcPr>
          <w:p>
            <w:pPr>
              <w:spacing w:before="156" w:beforeLines="50" w:after="156" w:afterLines="50"/>
            </w:pPr>
            <w:r>
              <w:rPr>
                <w:rFonts w:hint="eastAsia" w:hAnsi="宋体"/>
              </w:rPr>
              <w:t>收取申请材料截止日期</w:t>
            </w:r>
          </w:p>
        </w:tc>
        <w:tc>
          <w:tcPr>
            <w:tcW w:w="2606" w:type="dxa"/>
            <w:vAlign w:val="center"/>
          </w:tcPr>
          <w:p>
            <w:pPr>
              <w:spacing w:before="156" w:beforeLines="50" w:after="156" w:afterLines="50"/>
            </w:pPr>
            <w:r>
              <w:t>201</w:t>
            </w:r>
            <w:r>
              <w:rPr>
                <w:rFonts w:hint="eastAsia"/>
              </w:rPr>
              <w:t>6年</w:t>
            </w:r>
            <w:r>
              <w:rPr>
                <w:rFonts w:hint="eastAsia"/>
                <w:lang w:val="en-US" w:eastAsia="zh-CN"/>
              </w:rPr>
              <w:t>5</w:t>
            </w:r>
            <w:r>
              <w:rPr>
                <w:rFonts w:hint="eastAsia"/>
              </w:rPr>
              <w:t>月</w:t>
            </w:r>
            <w:r>
              <w:rPr>
                <w:rFonts w:hint="eastAsia"/>
                <w:lang w:val="en-US" w:eastAsia="zh-CN"/>
              </w:rPr>
              <w:t>3</w:t>
            </w:r>
            <w:r>
              <w:rPr>
                <w:rFonts w:hint="eastAsia"/>
              </w:rPr>
              <w:t>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5916" w:type="dxa"/>
            <w:vAlign w:val="center"/>
          </w:tcPr>
          <w:p>
            <w:pPr>
              <w:spacing w:before="156" w:beforeLines="50" w:after="156" w:afterLines="50"/>
            </w:pPr>
            <w:r>
              <w:rPr>
                <w:rFonts w:hint="eastAsia" w:hAnsi="宋体"/>
              </w:rPr>
              <w:t>录取通知书及签证申请表（</w:t>
            </w:r>
            <w:r>
              <w:t>JW201</w:t>
            </w:r>
            <w:r>
              <w:rPr>
                <w:rFonts w:hint="eastAsia" w:hAnsi="宋体"/>
              </w:rPr>
              <w:t>）发放日期</w:t>
            </w:r>
            <w:r>
              <w:rPr>
                <w:rFonts w:hint="eastAsia"/>
              </w:rPr>
              <w:t>（</w:t>
            </w:r>
            <w:r>
              <w:rPr>
                <w:rFonts w:hint="eastAsia" w:hAnsi="宋体"/>
              </w:rPr>
              <w:t>以录取通知书上注明日期为准</w:t>
            </w:r>
            <w:r>
              <w:rPr>
                <w:rFonts w:hint="eastAsia"/>
              </w:rPr>
              <w:t>）</w:t>
            </w:r>
          </w:p>
        </w:tc>
        <w:tc>
          <w:tcPr>
            <w:tcW w:w="2606" w:type="dxa"/>
            <w:vAlign w:val="center"/>
          </w:tcPr>
          <w:p>
            <w:pPr>
              <w:spacing w:before="156" w:beforeLines="50" w:after="156" w:afterLines="50"/>
            </w:pPr>
            <w:r>
              <w:t>201</w:t>
            </w:r>
            <w:r>
              <w:rPr>
                <w:rFonts w:hint="eastAsia"/>
              </w:rPr>
              <w:t>6年7月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156" w:beforeLines="50" w:after="156" w:afterLines="50"/>
            </w:pPr>
            <w:r>
              <w:rPr>
                <w:rFonts w:hint="eastAsia" w:hAnsi="宋体"/>
              </w:rPr>
              <w:t>报到注册日期</w:t>
            </w:r>
          </w:p>
        </w:tc>
        <w:tc>
          <w:tcPr>
            <w:tcW w:w="2606" w:type="dxa"/>
            <w:vAlign w:val="center"/>
          </w:tcPr>
          <w:p>
            <w:pPr>
              <w:spacing w:before="156" w:beforeLines="50" w:after="156" w:afterLines="50"/>
            </w:pPr>
            <w:r>
              <w:t>201</w:t>
            </w:r>
            <w:r>
              <w:rPr>
                <w:rFonts w:hint="eastAsia"/>
              </w:rPr>
              <w:t>6年8月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156" w:beforeLines="50" w:after="156" w:afterLines="50"/>
            </w:pPr>
            <w:r>
              <w:rPr>
                <w:rFonts w:hint="eastAsia"/>
              </w:rPr>
              <w:t>第一学期</w:t>
            </w:r>
          </w:p>
        </w:tc>
        <w:tc>
          <w:tcPr>
            <w:tcW w:w="2606" w:type="dxa"/>
            <w:vAlign w:val="center"/>
          </w:tcPr>
          <w:p>
            <w:pPr>
              <w:spacing w:before="156" w:beforeLines="50" w:after="156" w:afterLines="50"/>
            </w:pPr>
            <w:r>
              <w:t>201</w:t>
            </w:r>
            <w:r>
              <w:rPr>
                <w:rFonts w:hint="eastAsia"/>
              </w:rPr>
              <w:t>6年9月</w:t>
            </w:r>
            <w:r>
              <w:t>- 201</w:t>
            </w:r>
            <w:r>
              <w:rPr>
                <w:rFonts w:hint="eastAsia"/>
              </w:rPr>
              <w:t>7年1月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156" w:beforeLines="50" w:after="156" w:afterLines="50"/>
            </w:pPr>
            <w:r>
              <w:rPr>
                <w:rFonts w:hint="eastAsia"/>
              </w:rPr>
              <w:t>第二学期</w:t>
            </w:r>
          </w:p>
        </w:tc>
        <w:tc>
          <w:tcPr>
            <w:tcW w:w="2606" w:type="dxa"/>
            <w:vAlign w:val="center"/>
          </w:tcPr>
          <w:p>
            <w:pPr>
              <w:spacing w:before="156" w:beforeLines="50" w:after="156" w:afterLines="50"/>
            </w:pPr>
            <w:r>
              <w:t>201</w:t>
            </w:r>
            <w:r>
              <w:rPr>
                <w:rFonts w:hint="eastAsia"/>
              </w:rPr>
              <w:t>7年2月-7月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156" w:beforeLines="50" w:after="156" w:afterLines="50"/>
            </w:pPr>
            <w:r>
              <w:rPr>
                <w:rFonts w:hint="eastAsia"/>
              </w:rPr>
              <w:t>第三学期</w:t>
            </w:r>
          </w:p>
        </w:tc>
        <w:tc>
          <w:tcPr>
            <w:tcW w:w="2606" w:type="dxa"/>
            <w:vAlign w:val="center"/>
          </w:tcPr>
          <w:p>
            <w:pPr>
              <w:spacing w:before="156" w:beforeLines="50" w:after="156" w:afterLines="50"/>
            </w:pPr>
            <w:r>
              <w:t>201</w:t>
            </w:r>
            <w:r>
              <w:rPr>
                <w:rFonts w:hint="eastAsia"/>
              </w:rPr>
              <w:t>7年9月</w:t>
            </w:r>
            <w:r>
              <w:t>-201</w:t>
            </w:r>
            <w:r>
              <w:rPr>
                <w:rFonts w:hint="eastAsia"/>
              </w:rPr>
              <w:t>8年1月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156" w:beforeLines="50" w:after="156" w:afterLines="50"/>
            </w:pPr>
            <w:r>
              <w:rPr>
                <w:rFonts w:hint="eastAsia"/>
              </w:rPr>
              <w:t>第四学期</w:t>
            </w:r>
          </w:p>
        </w:tc>
        <w:tc>
          <w:tcPr>
            <w:tcW w:w="2606" w:type="dxa"/>
            <w:vAlign w:val="center"/>
          </w:tcPr>
          <w:p>
            <w:pPr>
              <w:spacing w:before="156" w:beforeLines="50" w:after="156" w:afterLines="50"/>
            </w:pPr>
            <w:r>
              <w:rPr>
                <w:rFonts w:hint="eastAsia"/>
              </w:rPr>
              <w:t>2018年2月-6月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156" w:beforeLines="50" w:after="156" w:afterLines="50"/>
            </w:pPr>
            <w:r>
              <w:rPr>
                <w:rFonts w:hint="eastAsia"/>
              </w:rPr>
              <w:t>离华归国</w:t>
            </w:r>
          </w:p>
        </w:tc>
        <w:tc>
          <w:tcPr>
            <w:tcW w:w="2606" w:type="dxa"/>
            <w:vAlign w:val="center"/>
          </w:tcPr>
          <w:p>
            <w:pPr>
              <w:spacing w:before="156" w:beforeLines="50" w:after="156" w:afterLines="50"/>
            </w:pPr>
            <w:r>
              <w:t>201</w:t>
            </w:r>
            <w:r>
              <w:rPr>
                <w:rFonts w:hint="eastAsia"/>
              </w:rPr>
              <w:t>8年7月</w:t>
            </w:r>
          </w:p>
        </w:tc>
      </w:tr>
    </w:tbl>
    <w:p>
      <w:pPr>
        <w:spacing w:before="156" w:beforeLines="50" w:after="156" w:afterLines="50"/>
      </w:pPr>
    </w:p>
    <w:p>
      <w:pPr>
        <w:pStyle w:val="10"/>
        <w:spacing w:line="300" w:lineRule="auto"/>
        <w:jc w:val="left"/>
        <w:rPr>
          <w:rFonts w:ascii="Times New Roman" w:hAnsi="Times New Roman"/>
          <w:b/>
          <w:bCs/>
          <w:sz w:val="24"/>
          <w:szCs w:val="24"/>
        </w:rPr>
      </w:pPr>
      <w:r>
        <w:rPr>
          <w:rFonts w:hint="eastAsia" w:ascii="Times New Roman" w:hAnsi="宋体"/>
          <w:b/>
          <w:bCs/>
          <w:sz w:val="24"/>
          <w:szCs w:val="24"/>
        </w:rPr>
        <w:t>奖学金</w:t>
      </w:r>
      <w:r>
        <w:rPr>
          <w:rFonts w:ascii="Times New Roman" w:hAnsi="Times New Roman"/>
          <w:b/>
          <w:bCs/>
          <w:sz w:val="24"/>
          <w:szCs w:val="24"/>
        </w:rPr>
        <w:t xml:space="preserve"> / </w:t>
      </w:r>
      <w:r>
        <w:rPr>
          <w:rFonts w:hint="eastAsia" w:ascii="Times New Roman" w:hAnsi="宋体"/>
          <w:b/>
          <w:bCs/>
          <w:sz w:val="24"/>
          <w:szCs w:val="24"/>
        </w:rPr>
        <w:t>学费</w:t>
      </w:r>
    </w:p>
    <w:p>
      <w:pPr>
        <w:pStyle w:val="10"/>
        <w:spacing w:line="300" w:lineRule="auto"/>
        <w:ind w:firstLine="420" w:firstLineChars="200"/>
        <w:jc w:val="left"/>
      </w:pPr>
      <w:r>
        <w:rPr>
          <w:rFonts w:hint="eastAsia"/>
        </w:rPr>
        <w:t>参照中国政府奖学金留学生硕士生标准，包括学费（由中国政府负责）、每月津贴、安家费、校内学生单间公寓、社会实践、一次往返机票及综合保险（详情请见：</w:t>
      </w:r>
      <w:r>
        <w:t>http://www.lxbx.net/tbzn/lxbx-tb07-s2.html</w:t>
      </w:r>
      <w:r>
        <w:rPr>
          <w:rFonts w:hint="eastAsia"/>
        </w:rPr>
        <w:t>）。</w:t>
      </w:r>
      <w:r>
        <w:rPr>
          <w:rFonts w:hint="eastAsia"/>
          <w:b/>
        </w:rPr>
        <w:t>具体见商务部最终批准。</w:t>
      </w:r>
    </w:p>
    <w:p>
      <w:pPr>
        <w:pStyle w:val="10"/>
        <w:spacing w:line="300" w:lineRule="auto"/>
        <w:jc w:val="left"/>
        <w:rPr>
          <w:rFonts w:ascii="Times New Roman" w:hAnsi="Times New Roman"/>
          <w:b/>
          <w:bCs/>
          <w:sz w:val="24"/>
          <w:szCs w:val="24"/>
        </w:rPr>
      </w:pPr>
    </w:p>
    <w:p>
      <w:pPr>
        <w:pStyle w:val="10"/>
        <w:spacing w:line="300" w:lineRule="auto"/>
        <w:jc w:val="left"/>
        <w:rPr>
          <w:rFonts w:ascii="Times New Roman" w:hAnsi="Times New Roman"/>
          <w:b/>
          <w:bCs/>
          <w:sz w:val="24"/>
          <w:szCs w:val="24"/>
        </w:rPr>
      </w:pPr>
      <w:r>
        <w:rPr>
          <w:rFonts w:hint="eastAsia" w:ascii="Times New Roman" w:hAnsi="宋体"/>
          <w:b/>
          <w:bCs/>
          <w:sz w:val="24"/>
          <w:szCs w:val="24"/>
        </w:rPr>
        <w:t>联系信息</w:t>
      </w:r>
    </w:p>
    <w:p>
      <w:pPr>
        <w:spacing w:before="156" w:beforeLines="50" w:after="156" w:afterLines="50"/>
      </w:pPr>
      <w:r>
        <w:rPr>
          <w:rFonts w:hint="eastAsia" w:hAnsi="宋体"/>
        </w:rPr>
        <w:t>电话</w:t>
      </w:r>
      <w:r>
        <w:t>: (86)10-627</w:t>
      </w:r>
      <w:r>
        <w:rPr>
          <w:rFonts w:hint="eastAsia"/>
        </w:rPr>
        <w:t>81797</w:t>
      </w:r>
      <w:r>
        <w:br w:type="textWrapping"/>
      </w:r>
      <w:r>
        <w:rPr>
          <w:rFonts w:hint="eastAsia" w:hAnsi="宋体"/>
        </w:rPr>
        <w:t>传真</w:t>
      </w:r>
      <w:r>
        <w:t>: (86)10-62782853</w:t>
      </w:r>
      <w:r>
        <w:br w:type="textWrapping"/>
      </w:r>
      <w:r>
        <w:rPr>
          <w:rFonts w:hint="eastAsia" w:hAnsi="宋体"/>
        </w:rPr>
        <w:t>电子邮箱</w:t>
      </w:r>
      <w:r>
        <w:t>:</w:t>
      </w:r>
      <w:r>
        <w:rPr>
          <w:rStyle w:val="40"/>
          <w:rFonts w:hAnsi="宋体"/>
          <w:color w:val="000000"/>
          <w:kern w:val="0"/>
          <w:sz w:val="20"/>
          <w:szCs w:val="20"/>
        </w:rPr>
        <w:t xml:space="preserve"> </w:t>
      </w:r>
      <w:r>
        <w:rPr>
          <w:rStyle w:val="40"/>
          <w:rFonts w:hint="eastAsia" w:hAnsi="宋体"/>
          <w:color w:val="000000"/>
          <w:kern w:val="0"/>
          <w:sz w:val="20"/>
          <w:szCs w:val="20"/>
        </w:rPr>
        <w:t>sppm_external</w:t>
      </w:r>
      <w:r>
        <w:fldChar w:fldCharType="begin"/>
      </w:r>
      <w:r>
        <w:instrText xml:space="preserve"> HYPERLINK "mailto:mid@tsinghua.edu.cn" </w:instrText>
      </w:r>
      <w:r>
        <w:fldChar w:fldCharType="separate"/>
      </w:r>
      <w:r>
        <w:t>@tsinghua.edu.cn</w:t>
      </w:r>
      <w:r>
        <w:fldChar w:fldCharType="end"/>
      </w:r>
      <w:r>
        <w:br w:type="textWrapping"/>
      </w:r>
      <w:r>
        <w:rPr>
          <w:rFonts w:hint="eastAsia" w:hAnsi="宋体"/>
        </w:rPr>
        <w:t>网址</w:t>
      </w:r>
      <w:r>
        <w:t>:</w:t>
      </w:r>
      <w:r>
        <w:rPr>
          <w:rFonts w:hint="eastAsia"/>
        </w:rPr>
        <w:t xml:space="preserve"> </w:t>
      </w:r>
      <w:r>
        <w:t xml:space="preserve">http://www.sppm.tsinghua.edu.cn/english/MID/ </w:t>
      </w:r>
      <w:r>
        <w:br w:type="textWrapping"/>
      </w:r>
      <w:r>
        <w:rPr>
          <w:rFonts w:hint="eastAsia" w:hAnsi="宋体"/>
        </w:rPr>
        <w:t>通讯地址</w:t>
      </w:r>
      <w:r>
        <w:t xml:space="preserve">: </w:t>
      </w:r>
      <w:r>
        <w:rPr>
          <w:rFonts w:hint="eastAsia" w:hAnsi="宋体"/>
        </w:rPr>
        <w:t>中国北京清华大学公共管理学院</w:t>
      </w:r>
      <w:r>
        <w:t>201</w:t>
      </w:r>
      <w:r>
        <w:rPr>
          <w:rFonts w:hint="eastAsia" w:hAnsi="宋体"/>
        </w:rPr>
        <w:t>室</w:t>
      </w:r>
    </w:p>
    <w:p>
      <w:pPr>
        <w:spacing w:before="156" w:beforeLines="50" w:after="156" w:afterLines="50"/>
      </w:pPr>
    </w:p>
    <w:p>
      <w:pPr>
        <w:spacing w:before="156" w:beforeLines="50" w:after="156" w:afterLines="50"/>
      </w:pPr>
      <w:r>
        <w:rPr>
          <w:rFonts w:hint="eastAsia" w:hAnsi="宋体"/>
        </w:rPr>
        <w:t>上述信息如有变更，解释权归清华大学公共管理学院所有。</w:t>
      </w:r>
    </w:p>
    <w:p>
      <w:pPr/>
      <w:r>
        <w:rPr>
          <w:rFonts w:hint="eastAsia" w:hAnsi="宋体"/>
        </w:rPr>
        <w:t>以上为翻译件，以英文版本为准。</w:t>
      </w:r>
    </w:p>
    <w:p>
      <w:pPr/>
    </w:p>
    <w:p>
      <w:pPr/>
    </w:p>
    <w:p>
      <w:pPr>
        <w:rPr>
          <w:rFonts w:hint="eastAsia"/>
        </w:rPr>
      </w:pPr>
    </w:p>
    <w:p>
      <w:pPr>
        <w:jc w:val="center"/>
      </w:pPr>
      <w:r>
        <w:drawing>
          <wp:inline distT="0" distB="0" distL="0" distR="0">
            <wp:extent cx="2438400" cy="2257425"/>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5"/>
                    <a:srcRect/>
                    <a:stretch>
                      <a:fillRect/>
                    </a:stretch>
                  </pic:blipFill>
                  <pic:spPr>
                    <a:xfrm>
                      <a:off x="0" y="0"/>
                      <a:ext cx="2438400" cy="2257425"/>
                    </a:xfrm>
                    <a:prstGeom prst="rect">
                      <a:avLst/>
                    </a:prstGeom>
                    <a:noFill/>
                    <a:ln w="9525">
                      <a:noFill/>
                      <a:miter lim="800000"/>
                      <a:headEnd/>
                      <a:tailEnd/>
                    </a:ln>
                  </pic:spPr>
                </pic:pic>
              </a:graphicData>
            </a:graphic>
          </wp:inline>
        </w:drawing>
      </w:r>
    </w:p>
    <w:p>
      <w:pPr>
        <w:jc w:val="center"/>
      </w:pPr>
    </w:p>
    <w:p>
      <w:pPr>
        <w:jc w:val="center"/>
        <w:rPr>
          <w:sz w:val="28"/>
          <w:szCs w:val="28"/>
        </w:rPr>
      </w:pPr>
      <w:r>
        <w:rPr>
          <w:sz w:val="28"/>
          <w:szCs w:val="28"/>
        </w:rPr>
        <w:t>Master of Public Administration</w:t>
      </w:r>
      <w:r>
        <w:rPr>
          <w:rFonts w:hint="eastAsia"/>
          <w:sz w:val="28"/>
          <w:szCs w:val="28"/>
        </w:rPr>
        <w:t xml:space="preserve"> in International Development &amp; Governance</w:t>
      </w:r>
      <w:r>
        <w:rPr>
          <w:sz w:val="28"/>
          <w:szCs w:val="28"/>
        </w:rPr>
        <w:t xml:space="preserve"> – M</w:t>
      </w:r>
      <w:r>
        <w:rPr>
          <w:rFonts w:hint="eastAsia"/>
          <w:sz w:val="28"/>
          <w:szCs w:val="28"/>
        </w:rPr>
        <w:t>IDG</w:t>
      </w:r>
      <w:r>
        <w:rPr>
          <w:sz w:val="28"/>
          <w:szCs w:val="28"/>
        </w:rPr>
        <w:t xml:space="preserve"> 201</w:t>
      </w:r>
      <w:r>
        <w:rPr>
          <w:rFonts w:hint="eastAsia"/>
          <w:sz w:val="28"/>
          <w:szCs w:val="28"/>
        </w:rPr>
        <w:t>6</w:t>
      </w:r>
    </w:p>
    <w:p>
      <w:pPr>
        <w:jc w:val="center"/>
        <w:rPr>
          <w:sz w:val="28"/>
          <w:szCs w:val="28"/>
        </w:rPr>
      </w:pPr>
      <w:r>
        <w:rPr>
          <w:sz w:val="28"/>
          <w:szCs w:val="28"/>
        </w:rPr>
        <w:t>School of Public Policy and Management (SPPM)</w:t>
      </w:r>
    </w:p>
    <w:p>
      <w:pPr>
        <w:jc w:val="center"/>
        <w:rPr>
          <w:sz w:val="28"/>
          <w:szCs w:val="28"/>
        </w:rPr>
      </w:pPr>
      <w:r>
        <w:rPr>
          <w:sz w:val="28"/>
          <w:szCs w:val="28"/>
        </w:rPr>
        <w:t>Tsinghua University</w:t>
      </w:r>
    </w:p>
    <w:p>
      <w:pPr>
        <w:jc w:val="center"/>
        <w:rPr>
          <w:sz w:val="28"/>
          <w:szCs w:val="28"/>
        </w:rPr>
      </w:pPr>
    </w:p>
    <w:p>
      <w:pPr>
        <w:rPr>
          <w:sz w:val="28"/>
          <w:szCs w:val="28"/>
        </w:rPr>
      </w:pPr>
      <w:r>
        <w:rPr>
          <w:sz w:val="28"/>
          <w:szCs w:val="28"/>
        </w:rPr>
        <w:t>I - Introduction</w:t>
      </w:r>
    </w:p>
    <w:p>
      <w:pPr>
        <w:rPr>
          <w:sz w:val="28"/>
          <w:szCs w:val="28"/>
        </w:rPr>
      </w:pPr>
    </w:p>
    <w:p>
      <w:pPr>
        <w:rPr>
          <w:sz w:val="28"/>
          <w:szCs w:val="28"/>
        </w:rPr>
      </w:pPr>
      <w:r>
        <w:rPr>
          <w:sz w:val="28"/>
          <w:szCs w:val="28"/>
        </w:rPr>
        <w:t>II - Curriculum</w:t>
      </w:r>
    </w:p>
    <w:p>
      <w:pPr>
        <w:rPr>
          <w:sz w:val="28"/>
          <w:szCs w:val="28"/>
        </w:rPr>
      </w:pPr>
    </w:p>
    <w:p>
      <w:pPr>
        <w:rPr>
          <w:sz w:val="28"/>
          <w:szCs w:val="28"/>
        </w:rPr>
      </w:pPr>
      <w:r>
        <w:rPr>
          <w:sz w:val="28"/>
          <w:szCs w:val="28"/>
        </w:rPr>
        <w:t>III - Course Description</w:t>
      </w:r>
    </w:p>
    <w:p>
      <w:pPr>
        <w:rPr>
          <w:sz w:val="28"/>
          <w:szCs w:val="28"/>
        </w:rPr>
      </w:pPr>
    </w:p>
    <w:p>
      <w:pPr>
        <w:rPr>
          <w:sz w:val="28"/>
          <w:szCs w:val="28"/>
        </w:rPr>
      </w:pPr>
      <w:r>
        <w:rPr>
          <w:sz w:val="28"/>
          <w:szCs w:val="28"/>
        </w:rPr>
        <w:t>IV - Current Faculty</w:t>
      </w:r>
    </w:p>
    <w:p>
      <w:pPr>
        <w:rPr>
          <w:sz w:val="28"/>
          <w:szCs w:val="28"/>
        </w:rPr>
      </w:pPr>
    </w:p>
    <w:p>
      <w:pPr>
        <w:rPr>
          <w:sz w:val="28"/>
          <w:szCs w:val="28"/>
        </w:rPr>
      </w:pPr>
      <w:r>
        <w:rPr>
          <w:sz w:val="28"/>
          <w:szCs w:val="28"/>
        </w:rPr>
        <w:t>V – Admission Information</w:t>
      </w:r>
    </w:p>
    <w:p>
      <w:pPr/>
    </w:p>
    <w:p>
      <w:pPr/>
    </w:p>
    <w:p>
      <w:pPr/>
    </w:p>
    <w:p>
      <w:pPr>
        <w:pStyle w:val="10"/>
        <w:adjustRightInd w:val="0"/>
        <w:snapToGrid w:val="0"/>
        <w:rPr>
          <w:rFonts w:ascii="Times New Roman" w:hAnsi="Times New Roman"/>
          <w:b/>
          <w:bCs/>
          <w:sz w:val="28"/>
          <w:szCs w:val="28"/>
        </w:rPr>
      </w:pPr>
      <w:r>
        <w:rPr>
          <w:rFonts w:ascii="Times New Roman" w:hAnsi="Times New Roman"/>
          <w:b/>
          <w:bCs/>
          <w:sz w:val="28"/>
          <w:szCs w:val="28"/>
        </w:rPr>
        <w:t xml:space="preserve">I – </w:t>
      </w:r>
      <w:r>
        <w:rPr>
          <w:rFonts w:hint="eastAsia" w:ascii="Times New Roman" w:hAnsi="Times New Roman"/>
          <w:b/>
          <w:bCs/>
          <w:sz w:val="28"/>
          <w:szCs w:val="28"/>
        </w:rPr>
        <w:t>Introduction</w:t>
      </w:r>
    </w:p>
    <w:p>
      <w:pPr>
        <w:pStyle w:val="10"/>
        <w:adjustRightInd w:val="0"/>
        <w:snapToGrid w:val="0"/>
        <w:rPr>
          <w:rFonts w:ascii="Times New Roman" w:hAnsi="Times New Roman"/>
          <w:b/>
          <w:bCs/>
          <w:sz w:val="28"/>
          <w:szCs w:val="28"/>
        </w:rPr>
      </w:pPr>
    </w:p>
    <w:p>
      <w:pPr>
        <w:pStyle w:val="10"/>
        <w:adjustRightInd w:val="0"/>
        <w:snapToGrid w:val="0"/>
        <w:rPr>
          <w:rFonts w:ascii="Times New Roman" w:hAnsi="Times New Roman"/>
          <w:b/>
          <w:bCs/>
          <w:sz w:val="28"/>
          <w:szCs w:val="28"/>
        </w:rPr>
      </w:pPr>
      <w:r>
        <w:rPr>
          <w:rFonts w:hint="eastAsia" w:ascii="Times New Roman" w:hAnsi="Times New Roman"/>
          <w:b/>
          <w:bCs/>
          <w:sz w:val="28"/>
          <w:szCs w:val="28"/>
        </w:rPr>
        <w:t>Tsinghua University</w:t>
      </w:r>
    </w:p>
    <w:p>
      <w:pPr>
        <w:widowControl/>
        <w:jc w:val="left"/>
        <w:rPr>
          <w:rFonts w:hint="eastAsia" w:ascii="inherit" w:hAnsi="inherit" w:cs="宋体"/>
          <w:kern w:val="0"/>
          <w:sz w:val="18"/>
          <w:szCs w:val="18"/>
        </w:rPr>
      </w:pPr>
    </w:p>
    <w:p>
      <w:pPr>
        <w:widowControl/>
        <w:rPr>
          <w:rFonts w:hAnsi="宋体"/>
          <w:sz w:val="24"/>
          <w:szCs w:val="24"/>
        </w:rPr>
      </w:pPr>
      <w:r>
        <w:rPr>
          <w:rFonts w:hAnsi="宋体"/>
          <w:sz w:val="24"/>
          <w:szCs w:val="24"/>
        </w:rPr>
        <w:t>Tsinghua University was established in 1911, originally under the name “Tsinghua Xuetang”. As one of China’s most renowned universities, Tsinghua has become an important institution for fostering talent and scientific research.</w:t>
      </w:r>
      <w:r>
        <w:rPr>
          <w:rFonts w:hint="eastAsia" w:hAnsi="宋体"/>
          <w:sz w:val="24"/>
          <w:szCs w:val="24"/>
        </w:rPr>
        <w:t xml:space="preserve"> Moreover, Tsinghua has a long tradition of nurturing public leadership, for instance, both former and current president, Mr. HU Jintao and Mr. XI Jinping are Tsinghua alumni. </w:t>
      </w:r>
      <w:r>
        <w:rPr>
          <w:rFonts w:hAnsi="宋体"/>
          <w:sz w:val="24"/>
          <w:szCs w:val="24"/>
        </w:rPr>
        <w:t>At present, the university has 1</w:t>
      </w:r>
      <w:r>
        <w:rPr>
          <w:rFonts w:hint="eastAsia" w:hAnsi="宋体"/>
          <w:sz w:val="24"/>
          <w:szCs w:val="24"/>
        </w:rPr>
        <w:t>9</w:t>
      </w:r>
      <w:r>
        <w:rPr>
          <w:rFonts w:hAnsi="宋体"/>
          <w:sz w:val="24"/>
          <w:szCs w:val="24"/>
        </w:rPr>
        <w:t xml:space="preserve"> schools and 5</w:t>
      </w:r>
      <w:r>
        <w:rPr>
          <w:rFonts w:hint="eastAsia" w:hAnsi="宋体"/>
          <w:sz w:val="24"/>
          <w:szCs w:val="24"/>
        </w:rPr>
        <w:t>5</w:t>
      </w:r>
      <w:r>
        <w:rPr>
          <w:rFonts w:hAnsi="宋体"/>
          <w:sz w:val="24"/>
          <w:szCs w:val="24"/>
        </w:rPr>
        <w:t xml:space="preserve"> departments with faculties in science, engineering, humanities, law, medicine, history, philosophy, economics, management, education and art. The University has now over 4</w:t>
      </w:r>
      <w:r>
        <w:rPr>
          <w:rFonts w:hint="eastAsia" w:hAnsi="宋体"/>
          <w:sz w:val="24"/>
          <w:szCs w:val="24"/>
        </w:rPr>
        <w:t>0</w:t>
      </w:r>
      <w:r>
        <w:rPr>
          <w:rFonts w:hAnsi="宋体"/>
          <w:sz w:val="24"/>
          <w:szCs w:val="24"/>
        </w:rPr>
        <w:t>,</w:t>
      </w:r>
      <w:r>
        <w:rPr>
          <w:rFonts w:hint="eastAsia" w:hAnsi="宋体"/>
          <w:sz w:val="24"/>
          <w:szCs w:val="24"/>
        </w:rPr>
        <w:t>000</w:t>
      </w:r>
      <w:r>
        <w:rPr>
          <w:rFonts w:hAnsi="宋体"/>
          <w:sz w:val="24"/>
          <w:szCs w:val="24"/>
        </w:rPr>
        <w:t xml:space="preserve"> students, including</w:t>
      </w:r>
      <w:r>
        <w:rPr>
          <w:rFonts w:hint="eastAsia" w:hAnsi="宋体"/>
          <w:sz w:val="24"/>
          <w:szCs w:val="24"/>
        </w:rPr>
        <w:t xml:space="preserve"> over</w:t>
      </w:r>
      <w:r>
        <w:rPr>
          <w:rFonts w:hAnsi="宋体"/>
          <w:sz w:val="24"/>
          <w:szCs w:val="24"/>
        </w:rPr>
        <w:t xml:space="preserve"> 1</w:t>
      </w:r>
      <w:r>
        <w:rPr>
          <w:rFonts w:hint="eastAsia" w:hAnsi="宋体"/>
          <w:sz w:val="24"/>
          <w:szCs w:val="24"/>
        </w:rPr>
        <w:t>5</w:t>
      </w:r>
      <w:r>
        <w:rPr>
          <w:rFonts w:hAnsi="宋体"/>
          <w:sz w:val="24"/>
          <w:szCs w:val="24"/>
        </w:rPr>
        <w:t>,</w:t>
      </w:r>
      <w:r>
        <w:rPr>
          <w:rFonts w:hint="eastAsia" w:hAnsi="宋体"/>
          <w:sz w:val="24"/>
          <w:szCs w:val="24"/>
        </w:rPr>
        <w:t>0</w:t>
      </w:r>
      <w:r>
        <w:rPr>
          <w:rFonts w:hAnsi="宋体"/>
          <w:sz w:val="24"/>
          <w:szCs w:val="24"/>
        </w:rPr>
        <w:t xml:space="preserve">00 undergraduates and </w:t>
      </w:r>
      <w:r>
        <w:rPr>
          <w:rFonts w:hint="eastAsia" w:hAnsi="宋体"/>
          <w:sz w:val="24"/>
          <w:szCs w:val="24"/>
        </w:rPr>
        <w:t>over 27</w:t>
      </w:r>
      <w:r>
        <w:rPr>
          <w:rFonts w:hAnsi="宋体"/>
          <w:sz w:val="24"/>
          <w:szCs w:val="24"/>
        </w:rPr>
        <w:t>,</w:t>
      </w:r>
      <w:r>
        <w:rPr>
          <w:rFonts w:hint="eastAsia" w:hAnsi="宋体"/>
          <w:sz w:val="24"/>
          <w:szCs w:val="24"/>
        </w:rPr>
        <w:t>0</w:t>
      </w:r>
      <w:r>
        <w:rPr>
          <w:rFonts w:hAnsi="宋体"/>
          <w:sz w:val="24"/>
          <w:szCs w:val="24"/>
        </w:rPr>
        <w:t>00 graduate students. With the motto of “Self-Discipline and Social Commitment” and the spirit of “Actions Speak Louder than Words”, Tsinghua University is dedicated to the well-being of Chinese society and to world development.</w:t>
      </w:r>
    </w:p>
    <w:p>
      <w:pPr>
        <w:pStyle w:val="10"/>
        <w:adjustRightInd w:val="0"/>
        <w:snapToGrid w:val="0"/>
        <w:rPr>
          <w:rFonts w:ascii="Times New Roman" w:hAnsi="Times New Roman"/>
          <w:b/>
          <w:bCs/>
          <w:sz w:val="28"/>
          <w:szCs w:val="28"/>
        </w:rPr>
      </w:pPr>
    </w:p>
    <w:p>
      <w:pPr>
        <w:pStyle w:val="10"/>
        <w:adjustRightInd w:val="0"/>
        <w:snapToGrid w:val="0"/>
        <w:rPr>
          <w:rFonts w:ascii="Times New Roman" w:hAnsi="Times New Roman"/>
          <w:b/>
          <w:bCs/>
          <w:sz w:val="28"/>
          <w:szCs w:val="28"/>
        </w:rPr>
      </w:pPr>
      <w:r>
        <w:rPr>
          <w:rFonts w:hint="eastAsia" w:ascii="Times New Roman" w:hAnsi="Times New Roman"/>
          <w:b/>
          <w:bCs/>
          <w:sz w:val="28"/>
          <w:szCs w:val="28"/>
        </w:rPr>
        <w:t>School of Public Policy and Management</w:t>
      </w:r>
    </w:p>
    <w:p>
      <w:pPr>
        <w:pStyle w:val="10"/>
        <w:adjustRightInd w:val="0"/>
        <w:snapToGrid w:val="0"/>
        <w:rPr>
          <w:rFonts w:ascii="Times New Roman" w:hAnsi="Times New Roman"/>
          <w:b/>
          <w:bCs/>
          <w:sz w:val="28"/>
          <w:szCs w:val="28"/>
        </w:rPr>
      </w:pPr>
    </w:p>
    <w:p>
      <w:pPr>
        <w:rPr>
          <w:rFonts w:hAnsi="宋体"/>
          <w:sz w:val="24"/>
          <w:szCs w:val="24"/>
        </w:rPr>
      </w:pPr>
      <w:r>
        <w:rPr>
          <w:rFonts w:hAnsi="宋体"/>
          <w:sz w:val="24"/>
          <w:szCs w:val="24"/>
        </w:rPr>
        <w:t>The School of Public Policy and Management (SPPM) of Tsinghua University was founded in 2000. As the first graduate school in public administration in China, the School’s long-term objective is to become a world-class institution that actively engages in teaching, research, and consulting in global public affairs.</w:t>
      </w:r>
    </w:p>
    <w:p>
      <w:pPr>
        <w:rPr>
          <w:rFonts w:hAnsi="宋体"/>
          <w:sz w:val="24"/>
          <w:szCs w:val="24"/>
        </w:rPr>
      </w:pPr>
    </w:p>
    <w:p>
      <w:pPr>
        <w:rPr>
          <w:rFonts w:eastAsiaTheme="minorEastAsia"/>
          <w:kern w:val="0"/>
          <w:sz w:val="24"/>
          <w:szCs w:val="24"/>
        </w:rPr>
      </w:pPr>
      <w:r>
        <w:rPr>
          <w:rFonts w:hAnsi="宋体"/>
          <w:sz w:val="24"/>
          <w:szCs w:val="24"/>
        </w:rPr>
        <w:t xml:space="preserve">Great progress has been made since the School’s founding. SPPM has built an outstanding faculty team and established an excellent MPA program and research-oriented M.S. and Ph.D. programs in public management. </w:t>
      </w:r>
      <w:r>
        <w:rPr>
          <w:rFonts w:hint="eastAsia" w:hAnsi="宋体"/>
          <w:sz w:val="24"/>
          <w:szCs w:val="24"/>
        </w:rPr>
        <w:t xml:space="preserve">Since 2007, the school consecutively launched two English taught master programs, namely Master of Public Administration in International Development (MID) and International Master of Public Administration (IMPA). As of Jan 2015, these two programs </w:t>
      </w:r>
      <w:r>
        <w:rPr>
          <w:rFonts w:hint="eastAsia" w:eastAsiaTheme="minorEastAsia"/>
          <w:kern w:val="0"/>
          <w:sz w:val="24"/>
          <w:szCs w:val="24"/>
        </w:rPr>
        <w:t xml:space="preserve">produced over </w:t>
      </w:r>
      <w:r>
        <w:rPr>
          <w:rFonts w:eastAsia="Times New Roman"/>
          <w:kern w:val="0"/>
          <w:sz w:val="24"/>
          <w:szCs w:val="24"/>
        </w:rPr>
        <w:t xml:space="preserve">graduates from </w:t>
      </w:r>
      <w:r>
        <w:rPr>
          <w:rFonts w:hint="eastAsia" w:eastAsiaTheme="minorEastAsia"/>
          <w:kern w:val="0"/>
          <w:sz w:val="24"/>
          <w:szCs w:val="24"/>
        </w:rPr>
        <w:t>over 90</w:t>
      </w:r>
      <w:r>
        <w:rPr>
          <w:rFonts w:eastAsia="Times New Roman"/>
          <w:kern w:val="0"/>
          <w:sz w:val="24"/>
          <w:szCs w:val="24"/>
        </w:rPr>
        <w:t xml:space="preserve"> countries </w:t>
      </w:r>
      <w:r>
        <w:rPr>
          <w:rFonts w:hint="eastAsia" w:eastAsia="Times New Roman"/>
          <w:kern w:val="0"/>
          <w:sz w:val="24"/>
          <w:szCs w:val="24"/>
        </w:rPr>
        <w:t>covering six</w:t>
      </w:r>
      <w:r>
        <w:rPr>
          <w:rFonts w:eastAsia="Times New Roman"/>
          <w:kern w:val="0"/>
          <w:sz w:val="24"/>
          <w:szCs w:val="24"/>
        </w:rPr>
        <w:t xml:space="preserve"> continents</w:t>
      </w:r>
      <w:r>
        <w:rPr>
          <w:rFonts w:hint="eastAsia" w:eastAsiaTheme="minorEastAsia"/>
          <w:kern w:val="0"/>
          <w:sz w:val="24"/>
          <w:szCs w:val="24"/>
        </w:rPr>
        <w:t>.</w:t>
      </w:r>
    </w:p>
    <w:p>
      <w:pPr>
        <w:rPr>
          <w:rFonts w:hAnsi="宋体" w:eastAsiaTheme="minorEastAsia"/>
          <w:sz w:val="24"/>
          <w:szCs w:val="24"/>
        </w:rPr>
      </w:pPr>
    </w:p>
    <w:p>
      <w:pPr>
        <w:rPr>
          <w:rFonts w:hAnsi="宋体"/>
          <w:sz w:val="24"/>
          <w:szCs w:val="24"/>
        </w:rPr>
      </w:pPr>
      <w:r>
        <w:rPr>
          <w:rFonts w:hAnsi="宋体"/>
          <w:sz w:val="24"/>
          <w:szCs w:val="24"/>
        </w:rPr>
        <w:t xml:space="preserve">On July 16th, 2013, </w:t>
      </w:r>
      <w:r>
        <w:rPr>
          <w:rFonts w:hint="eastAsia" w:hAnsi="宋体"/>
          <w:sz w:val="24"/>
          <w:szCs w:val="24"/>
        </w:rPr>
        <w:t>Tsinghua</w:t>
      </w:r>
      <w:r>
        <w:rPr>
          <w:rFonts w:hAnsi="宋体"/>
          <w:sz w:val="24"/>
          <w:szCs w:val="24"/>
        </w:rPr>
        <w:t xml:space="preserve"> Master of Public Administration (MPA) program received the Network of Schools of Public Policy, Affairs, and Administration (NASPAA) Accreditation. It is the first graduate degree in public affairs outside the United States to receive NASPAA Accreditation.</w:t>
      </w:r>
    </w:p>
    <w:p>
      <w:pPr>
        <w:rPr>
          <w:rFonts w:hAnsi="宋体"/>
          <w:sz w:val="24"/>
          <w:szCs w:val="24"/>
        </w:rPr>
      </w:pPr>
    </w:p>
    <w:p>
      <w:pPr>
        <w:rPr>
          <w:rFonts w:hAnsi="宋体"/>
          <w:sz w:val="24"/>
          <w:szCs w:val="24"/>
        </w:rPr>
      </w:pPr>
      <w:r>
        <w:rPr>
          <w:rFonts w:hint="eastAsia" w:hAnsi="宋体"/>
          <w:sz w:val="24"/>
          <w:szCs w:val="24"/>
        </w:rPr>
        <w:t>There are currently 50 full-time faculty members at SPPM. Among them, many have earned their doctoral degrees from world-renowned universities. They are actively engaged in researches covering public policies, economics, politics, political economy, international relations, NGO, social/government/industrial innovation, anti-corruption, development study, crisis management etc.</w:t>
      </w:r>
    </w:p>
    <w:p>
      <w:pPr>
        <w:rPr>
          <w:rFonts w:hAnsi="宋体"/>
          <w:sz w:val="24"/>
          <w:szCs w:val="24"/>
        </w:rPr>
      </w:pPr>
    </w:p>
    <w:p>
      <w:pPr>
        <w:rPr>
          <w:rFonts w:hAnsi="宋体"/>
          <w:sz w:val="24"/>
          <w:szCs w:val="24"/>
        </w:rPr>
      </w:pPr>
      <w:r>
        <w:rPr>
          <w:rFonts w:hint="eastAsia" w:hAnsi="宋体"/>
          <w:sz w:val="24"/>
          <w:szCs w:val="24"/>
        </w:rPr>
        <w:t>The</w:t>
      </w:r>
      <w:r>
        <w:rPr>
          <w:rFonts w:hAnsi="宋体"/>
          <w:sz w:val="24"/>
          <w:szCs w:val="24"/>
        </w:rPr>
        <w:t xml:space="preserve"> research activities in public policy and management in the school have made important contributions to the formulation and implementation of public policies in China. Close linkages and partnerships have also been forged with international organizations and academic programs in public policy and management around the world.</w:t>
      </w:r>
      <w:r>
        <w:rPr>
          <w:rFonts w:hint="eastAsia" w:hAnsi="宋体"/>
          <w:sz w:val="24"/>
          <w:szCs w:val="24"/>
        </w:rPr>
        <w:t xml:space="preserve"> </w:t>
      </w:r>
    </w:p>
    <w:p>
      <w:pPr>
        <w:pStyle w:val="10"/>
        <w:adjustRightInd w:val="0"/>
        <w:snapToGrid w:val="0"/>
        <w:rPr>
          <w:rFonts w:ascii="Times New Roman" w:hAnsi="Times New Roman"/>
          <w:b/>
          <w:bCs/>
          <w:sz w:val="28"/>
          <w:szCs w:val="28"/>
        </w:rPr>
      </w:pPr>
    </w:p>
    <w:p>
      <w:pPr>
        <w:pStyle w:val="10"/>
        <w:adjustRightInd w:val="0"/>
        <w:snapToGrid w:val="0"/>
        <w:rPr>
          <w:rFonts w:ascii="Times New Roman" w:hAnsi="Times New Roman"/>
          <w:b/>
          <w:bCs/>
          <w:sz w:val="28"/>
          <w:szCs w:val="28"/>
        </w:rPr>
      </w:pPr>
      <w:r>
        <w:rPr>
          <w:rFonts w:ascii="Times New Roman" w:hAnsi="Times New Roman"/>
          <w:b/>
          <w:bCs/>
          <w:sz w:val="28"/>
          <w:szCs w:val="28"/>
        </w:rPr>
        <w:t>Program Introduction</w:t>
      </w:r>
    </w:p>
    <w:p>
      <w:pPr>
        <w:rPr>
          <w:sz w:val="24"/>
          <w:szCs w:val="24"/>
        </w:rPr>
      </w:pPr>
      <w:r>
        <w:rPr>
          <w:sz w:val="24"/>
          <w:szCs w:val="24"/>
        </w:rPr>
        <w:t xml:space="preserve">The Master of Public Administration </w:t>
      </w:r>
      <w:r>
        <w:rPr>
          <w:rFonts w:hint="eastAsia"/>
          <w:sz w:val="24"/>
          <w:szCs w:val="24"/>
        </w:rPr>
        <w:t>in International Development and Governance (MIDG)</w:t>
      </w:r>
      <w:r>
        <w:rPr>
          <w:sz w:val="24"/>
          <w:szCs w:val="24"/>
        </w:rPr>
        <w:t xml:space="preserve"> is a </w:t>
      </w:r>
      <w:r>
        <w:rPr>
          <w:rFonts w:hint="eastAsia"/>
          <w:sz w:val="24"/>
          <w:szCs w:val="24"/>
        </w:rPr>
        <w:t>two</w:t>
      </w:r>
      <w:r>
        <w:rPr>
          <w:sz w:val="24"/>
          <w:szCs w:val="24"/>
        </w:rPr>
        <w:t xml:space="preserve">-year English degree program offered by the School of Public Policy and Management (SPPM) at Tsinghua University. It </w:t>
      </w:r>
      <w:r>
        <w:rPr>
          <w:rFonts w:hint="eastAsia"/>
          <w:sz w:val="24"/>
          <w:szCs w:val="24"/>
        </w:rPr>
        <w:t xml:space="preserve">is designed for professionals engaged in international development and governance in developing countries. By integrating cross-disciplinary knowledge and combining traditional classroom teaching as well as practice, the </w:t>
      </w:r>
      <w:r>
        <w:rPr>
          <w:sz w:val="24"/>
          <w:szCs w:val="24"/>
        </w:rPr>
        <w:t>program</w:t>
      </w:r>
      <w:r>
        <w:rPr>
          <w:rFonts w:hint="eastAsia"/>
          <w:sz w:val="24"/>
          <w:szCs w:val="24"/>
        </w:rPr>
        <w:t xml:space="preserve"> aims to help students gain a deep understanding </w:t>
      </w:r>
      <w:r>
        <w:rPr>
          <w:kern w:val="0"/>
          <w:sz w:val="24"/>
          <w:szCs w:val="24"/>
        </w:rPr>
        <w:t>of international development</w:t>
      </w:r>
      <w:r>
        <w:rPr>
          <w:rFonts w:hint="eastAsia"/>
          <w:kern w:val="0"/>
          <w:sz w:val="24"/>
          <w:szCs w:val="24"/>
        </w:rPr>
        <w:t xml:space="preserve"> and governance with emphasis of </w:t>
      </w:r>
      <w:r>
        <w:rPr>
          <w:rFonts w:hint="eastAsia"/>
          <w:sz w:val="24"/>
          <w:szCs w:val="24"/>
        </w:rPr>
        <w:t>China</w:t>
      </w:r>
      <w:r>
        <w:rPr>
          <w:sz w:val="24"/>
          <w:szCs w:val="24"/>
        </w:rPr>
        <w:t>’</w:t>
      </w:r>
      <w:r>
        <w:rPr>
          <w:rFonts w:hint="eastAsia"/>
          <w:sz w:val="24"/>
          <w:szCs w:val="24"/>
        </w:rPr>
        <w:t>s development experience,</w:t>
      </w:r>
      <w:r>
        <w:rPr>
          <w:rFonts w:hint="eastAsia"/>
          <w:kern w:val="0"/>
          <w:sz w:val="24"/>
          <w:szCs w:val="24"/>
        </w:rPr>
        <w:t xml:space="preserve"> and enhances their analytical and problem solving abilities by applying </w:t>
      </w:r>
      <w:r>
        <w:rPr>
          <w:kern w:val="0"/>
          <w:sz w:val="24"/>
          <w:szCs w:val="24"/>
        </w:rPr>
        <w:t>public administrative theories and tools</w:t>
      </w:r>
      <w:r>
        <w:rPr>
          <w:rFonts w:hint="eastAsia"/>
          <w:sz w:val="24"/>
          <w:szCs w:val="24"/>
        </w:rPr>
        <w:t xml:space="preserve">. </w:t>
      </w:r>
      <w:r>
        <w:rPr>
          <w:sz w:val="24"/>
          <w:szCs w:val="24"/>
        </w:rPr>
        <w:t xml:space="preserve">The </w:t>
      </w:r>
      <w:r>
        <w:rPr>
          <w:rFonts w:hint="eastAsia"/>
          <w:sz w:val="24"/>
          <w:szCs w:val="24"/>
        </w:rPr>
        <w:t>MIDG</w:t>
      </w:r>
      <w:r>
        <w:rPr>
          <w:sz w:val="24"/>
          <w:szCs w:val="24"/>
        </w:rPr>
        <w:t xml:space="preserve"> program is taught entirely in English</w:t>
      </w:r>
      <w:r>
        <w:rPr>
          <w:rFonts w:hint="eastAsia"/>
          <w:sz w:val="24"/>
          <w:szCs w:val="24"/>
        </w:rPr>
        <w:t xml:space="preserve"> and will be conferred MPA degree upon completion of </w:t>
      </w:r>
      <w:r>
        <w:rPr>
          <w:sz w:val="24"/>
          <w:szCs w:val="24"/>
        </w:rPr>
        <w:t>required credits and a thesis defense</w:t>
      </w:r>
      <w:r>
        <w:rPr>
          <w:rFonts w:hint="eastAsia"/>
          <w:sz w:val="24"/>
          <w:szCs w:val="24"/>
        </w:rPr>
        <w:t>.</w:t>
      </w:r>
    </w:p>
    <w:p>
      <w:pPr>
        <w:rPr>
          <w:sz w:val="24"/>
          <w:szCs w:val="24"/>
        </w:rPr>
      </w:pPr>
    </w:p>
    <w:p>
      <w:pPr>
        <w:rPr>
          <w:sz w:val="24"/>
          <w:szCs w:val="24"/>
        </w:rPr>
      </w:pPr>
      <w:r>
        <w:rPr>
          <w:sz w:val="24"/>
          <w:szCs w:val="24"/>
        </w:rPr>
        <w:t xml:space="preserve">SPPM is regarded as one of the pioneers of public administration education in China. Its mission is to provide academic and professional training programs in public management, to pursue academic excellence as well as the practical application of public policy and innovative management research. The </w:t>
      </w:r>
      <w:r>
        <w:rPr>
          <w:rFonts w:hint="eastAsia"/>
          <w:sz w:val="24"/>
          <w:szCs w:val="24"/>
        </w:rPr>
        <w:t>MIDG</w:t>
      </w:r>
      <w:r>
        <w:rPr>
          <w:sz w:val="24"/>
          <w:szCs w:val="24"/>
        </w:rPr>
        <w:t xml:space="preserve"> program was launched in fall 20</w:t>
      </w:r>
      <w:r>
        <w:rPr>
          <w:rFonts w:hint="eastAsia"/>
          <w:sz w:val="24"/>
          <w:szCs w:val="24"/>
        </w:rPr>
        <w:t>15</w:t>
      </w:r>
      <w:r>
        <w:rPr>
          <w:sz w:val="24"/>
          <w:szCs w:val="24"/>
        </w:rPr>
        <w:t xml:space="preserve"> in order to share the successes and lessons of China’s development experiences and to make contributions to the practice of international development</w:t>
      </w:r>
      <w:r>
        <w:rPr>
          <w:rFonts w:hint="eastAsia"/>
          <w:sz w:val="24"/>
          <w:szCs w:val="24"/>
        </w:rPr>
        <w:t xml:space="preserve"> and governance. </w:t>
      </w:r>
    </w:p>
    <w:p>
      <w:pPr>
        <w:ind w:firstLine="480" w:firstLineChars="200"/>
        <w:rPr>
          <w:sz w:val="24"/>
          <w:szCs w:val="24"/>
        </w:rPr>
      </w:pPr>
    </w:p>
    <w:p>
      <w:pPr>
        <w:rPr>
          <w:sz w:val="24"/>
          <w:szCs w:val="24"/>
        </w:rPr>
      </w:pPr>
      <w:r>
        <w:rPr>
          <w:sz w:val="24"/>
          <w:szCs w:val="24"/>
        </w:rPr>
        <w:t xml:space="preserve">The inaugural </w:t>
      </w:r>
      <w:r>
        <w:rPr>
          <w:rFonts w:hint="eastAsia"/>
          <w:sz w:val="24"/>
          <w:szCs w:val="24"/>
        </w:rPr>
        <w:t>MIDG</w:t>
      </w:r>
      <w:r>
        <w:rPr>
          <w:sz w:val="24"/>
          <w:szCs w:val="24"/>
        </w:rPr>
        <w:t xml:space="preserve"> class of 20</w:t>
      </w:r>
      <w:r>
        <w:rPr>
          <w:rFonts w:hint="eastAsia"/>
          <w:sz w:val="24"/>
          <w:szCs w:val="24"/>
        </w:rPr>
        <w:t>15</w:t>
      </w:r>
      <w:r>
        <w:rPr>
          <w:sz w:val="24"/>
          <w:szCs w:val="24"/>
        </w:rPr>
        <w:t xml:space="preserve"> brought together </w:t>
      </w:r>
      <w:r>
        <w:rPr>
          <w:rFonts w:hint="eastAsia"/>
          <w:sz w:val="24"/>
          <w:szCs w:val="24"/>
        </w:rPr>
        <w:t>15</w:t>
      </w:r>
      <w:r>
        <w:rPr>
          <w:sz w:val="24"/>
          <w:szCs w:val="24"/>
        </w:rPr>
        <w:t xml:space="preserve"> students from </w:t>
      </w:r>
      <w:r>
        <w:rPr>
          <w:rFonts w:hint="eastAsia"/>
          <w:sz w:val="24"/>
          <w:szCs w:val="24"/>
        </w:rPr>
        <w:t>1</w:t>
      </w:r>
      <w:r>
        <w:rPr>
          <w:sz w:val="24"/>
          <w:szCs w:val="24"/>
        </w:rPr>
        <w:t xml:space="preserve"> Asian countr</w:t>
      </w:r>
      <w:r>
        <w:rPr>
          <w:rFonts w:hint="eastAsia"/>
          <w:sz w:val="24"/>
          <w:szCs w:val="24"/>
        </w:rPr>
        <w:t xml:space="preserve">y, 5 </w:t>
      </w:r>
      <w:r>
        <w:rPr>
          <w:sz w:val="24"/>
          <w:szCs w:val="24"/>
        </w:rPr>
        <w:t>African countries</w:t>
      </w:r>
      <w:r>
        <w:rPr>
          <w:rFonts w:hint="eastAsia"/>
          <w:sz w:val="24"/>
          <w:szCs w:val="24"/>
        </w:rPr>
        <w:t xml:space="preserve"> and 3 </w:t>
      </w:r>
      <w:r>
        <w:rPr>
          <w:sz w:val="24"/>
          <w:szCs w:val="24"/>
        </w:rPr>
        <w:t>European countries</w:t>
      </w:r>
      <w:r>
        <w:rPr>
          <w:rFonts w:hint="eastAsia"/>
          <w:sz w:val="24"/>
          <w:szCs w:val="24"/>
        </w:rPr>
        <w:t xml:space="preserve">. </w:t>
      </w:r>
      <w:r>
        <w:rPr>
          <w:sz w:val="24"/>
          <w:szCs w:val="24"/>
        </w:rPr>
        <w:t>Students’ average age is 3</w:t>
      </w:r>
      <w:r>
        <w:rPr>
          <w:rFonts w:hint="eastAsia"/>
          <w:sz w:val="24"/>
          <w:szCs w:val="24"/>
        </w:rPr>
        <w:t>2</w:t>
      </w:r>
      <w:r>
        <w:rPr>
          <w:sz w:val="24"/>
          <w:szCs w:val="24"/>
        </w:rPr>
        <w:t>, and around 8</w:t>
      </w:r>
      <w:r>
        <w:rPr>
          <w:rFonts w:hint="eastAsia"/>
          <w:sz w:val="24"/>
          <w:szCs w:val="24"/>
        </w:rPr>
        <w:t>5</w:t>
      </w:r>
      <w:r>
        <w:rPr>
          <w:sz w:val="24"/>
          <w:szCs w:val="24"/>
        </w:rPr>
        <w:t>% of the students are government officials</w:t>
      </w:r>
      <w:r>
        <w:rPr>
          <w:rFonts w:hint="eastAsia"/>
          <w:sz w:val="24"/>
          <w:szCs w:val="24"/>
        </w:rPr>
        <w:t>.</w:t>
      </w:r>
      <w:r>
        <w:rPr>
          <w:sz w:val="24"/>
          <w:szCs w:val="24"/>
        </w:rPr>
        <w:t xml:space="preserve"> Students have the opportunity to engage with Chinese students and teachers in various activities and events. Active participation is strongly encouraged to develop future networks for cooperation. </w:t>
      </w:r>
    </w:p>
    <w:p>
      <w:pPr>
        <w:rPr>
          <w:sz w:val="24"/>
          <w:szCs w:val="24"/>
        </w:rPr>
      </w:pPr>
    </w:p>
    <w:p>
      <w:pPr>
        <w:rPr>
          <w:b/>
          <w:i/>
          <w:sz w:val="24"/>
          <w:szCs w:val="24"/>
        </w:rPr>
      </w:pPr>
      <w:r>
        <w:rPr>
          <w:b/>
          <w:i/>
          <w:sz w:val="24"/>
          <w:szCs w:val="24"/>
        </w:rPr>
        <w:t xml:space="preserve">Program </w:t>
      </w:r>
      <w:r>
        <w:rPr>
          <w:rFonts w:hint="eastAsia"/>
          <w:b/>
          <w:i/>
          <w:sz w:val="24"/>
          <w:szCs w:val="24"/>
        </w:rPr>
        <w:t>Highlights</w:t>
      </w:r>
    </w:p>
    <w:p>
      <w:pPr>
        <w:pStyle w:val="42"/>
        <w:widowControl/>
        <w:numPr>
          <w:ilvl w:val="0"/>
          <w:numId w:val="11"/>
        </w:numPr>
        <w:pBdr>
          <w:top w:val="none" w:color="auto" w:sz="0" w:space="0"/>
          <w:left w:val="none" w:color="auto" w:sz="0" w:space="0"/>
          <w:bottom w:val="none" w:color="auto" w:sz="0" w:space="0"/>
          <w:right w:val="none" w:color="auto" w:sz="0" w:space="0"/>
          <w:between w:val="none" w:color="auto" w:sz="0" w:space="0"/>
        </w:pBdr>
        <w:tabs>
          <w:tab w:val="left" w:pos="360"/>
        </w:tabs>
        <w:spacing w:before="116"/>
        <w:ind w:left="315" w:hanging="315" w:firstLineChars="0"/>
        <w:jc w:val="left"/>
        <w:rPr>
          <w:rFonts w:ascii="Times New Roman" w:hAnsi="Times New Roman" w:eastAsia="Times New Roman"/>
          <w:kern w:val="0"/>
          <w:sz w:val="24"/>
          <w:szCs w:val="24"/>
          <w:u w:color="FF0000"/>
        </w:rPr>
      </w:pPr>
      <w:r>
        <w:rPr>
          <w:rFonts w:hint="eastAsia" w:ascii="Times New Roman" w:eastAsiaTheme="minorEastAsia"/>
          <w:kern w:val="0"/>
          <w:sz w:val="24"/>
          <w:szCs w:val="24"/>
          <w:u w:color="FF0000"/>
        </w:rPr>
        <w:t>Academic uniqueness</w:t>
      </w:r>
    </w:p>
    <w:p>
      <w:pPr>
        <w:rPr>
          <w:rFonts w:eastAsia="Times New Roman"/>
          <w:kern w:val="0"/>
          <w:sz w:val="24"/>
          <w:szCs w:val="24"/>
        </w:rPr>
      </w:pPr>
      <w:r>
        <w:rPr>
          <w:kern w:val="0"/>
          <w:sz w:val="24"/>
          <w:szCs w:val="24"/>
        </w:rPr>
        <w:t xml:space="preserve">With the integration of SPPM’s resources, </w:t>
      </w:r>
      <w:r>
        <w:rPr>
          <w:rFonts w:hint="eastAsia"/>
          <w:kern w:val="0"/>
          <w:sz w:val="24"/>
          <w:szCs w:val="24"/>
        </w:rPr>
        <w:t>33</w:t>
      </w:r>
      <w:r>
        <w:rPr>
          <w:kern w:val="0"/>
          <w:sz w:val="24"/>
          <w:szCs w:val="24"/>
        </w:rPr>
        <w:t xml:space="preserve"> English courses are offered in the two-year degree program.</w:t>
      </w:r>
    </w:p>
    <w:p>
      <w:pPr>
        <w:pStyle w:val="42"/>
        <w:widowControl/>
        <w:numPr>
          <w:ilvl w:val="0"/>
          <w:numId w:val="11"/>
        </w:numPr>
        <w:pBdr>
          <w:top w:val="none" w:color="auto" w:sz="0" w:space="0"/>
          <w:left w:val="none" w:color="auto" w:sz="0" w:space="0"/>
          <w:bottom w:val="none" w:color="auto" w:sz="0" w:space="0"/>
          <w:right w:val="none" w:color="auto" w:sz="0" w:space="0"/>
          <w:between w:val="none" w:color="auto" w:sz="0" w:space="0"/>
        </w:pBdr>
        <w:tabs>
          <w:tab w:val="left" w:pos="360"/>
        </w:tabs>
        <w:spacing w:before="116"/>
        <w:ind w:left="315" w:hanging="315" w:firstLineChars="0"/>
        <w:jc w:val="left"/>
        <w:rPr>
          <w:rFonts w:ascii="Times New Roman" w:hAnsi="Times New Roman" w:eastAsia="Times New Roman"/>
          <w:kern w:val="0"/>
          <w:sz w:val="24"/>
          <w:szCs w:val="24"/>
        </w:rPr>
      </w:pPr>
      <w:r>
        <w:rPr>
          <w:rFonts w:ascii="Times New Roman"/>
          <w:kern w:val="0"/>
          <w:sz w:val="24"/>
          <w:szCs w:val="24"/>
        </w:rPr>
        <w:t xml:space="preserve">Practical </w:t>
      </w:r>
      <w:r>
        <w:rPr>
          <w:rFonts w:hint="eastAsia" w:ascii="Times New Roman"/>
          <w:kern w:val="0"/>
          <w:sz w:val="24"/>
          <w:szCs w:val="24"/>
        </w:rPr>
        <w:t>o</w:t>
      </w:r>
      <w:r>
        <w:rPr>
          <w:rFonts w:ascii="Times New Roman"/>
          <w:kern w:val="0"/>
          <w:sz w:val="24"/>
          <w:szCs w:val="24"/>
        </w:rPr>
        <w:t>rientation</w:t>
      </w:r>
    </w:p>
    <w:p>
      <w:pPr>
        <w:rPr>
          <w:kern w:val="0"/>
          <w:sz w:val="24"/>
          <w:szCs w:val="24"/>
        </w:rPr>
      </w:pPr>
      <w:r>
        <w:rPr>
          <w:rFonts w:hint="eastAsia" w:eastAsiaTheme="minorEastAsia"/>
          <w:kern w:val="0"/>
          <w:sz w:val="24"/>
          <w:szCs w:val="24"/>
        </w:rPr>
        <w:t>F</w:t>
      </w:r>
      <w:r>
        <w:rPr>
          <w:kern w:val="0"/>
          <w:sz w:val="24"/>
          <w:szCs w:val="24"/>
        </w:rPr>
        <w:t>ield training enhance</w:t>
      </w:r>
      <w:r>
        <w:rPr>
          <w:rFonts w:hint="eastAsia" w:eastAsiaTheme="minorEastAsia"/>
          <w:kern w:val="0"/>
          <w:sz w:val="24"/>
          <w:szCs w:val="24"/>
        </w:rPr>
        <w:t>d</w:t>
      </w:r>
      <w:r>
        <w:rPr>
          <w:kern w:val="0"/>
          <w:sz w:val="24"/>
          <w:szCs w:val="24"/>
        </w:rPr>
        <w:t xml:space="preserve"> by various opportunities </w:t>
      </w:r>
      <w:r>
        <w:rPr>
          <w:rFonts w:hint="eastAsia" w:eastAsiaTheme="minorEastAsia"/>
          <w:kern w:val="0"/>
          <w:sz w:val="24"/>
          <w:szCs w:val="24"/>
        </w:rPr>
        <w:t xml:space="preserve">of </w:t>
      </w:r>
      <w:r>
        <w:rPr>
          <w:kern w:val="0"/>
          <w:sz w:val="24"/>
          <w:szCs w:val="24"/>
        </w:rPr>
        <w:t>field trips and guest lectures.</w:t>
      </w:r>
    </w:p>
    <w:p>
      <w:pPr>
        <w:rPr>
          <w:rFonts w:eastAsia="Times New Roman"/>
          <w:kern w:val="0"/>
          <w:sz w:val="24"/>
          <w:szCs w:val="24"/>
        </w:rPr>
      </w:pPr>
    </w:p>
    <w:p>
      <w:pPr>
        <w:pStyle w:val="42"/>
        <w:numPr>
          <w:ilvl w:val="0"/>
          <w:numId w:val="11"/>
        </w:numPr>
        <w:tabs>
          <w:tab w:val="left" w:pos="360"/>
        </w:tabs>
        <w:ind w:firstLineChars="0"/>
        <w:rPr>
          <w:rFonts w:ascii="Times New Roman" w:hAnsi="Times New Roman"/>
          <w:kern w:val="0"/>
          <w:sz w:val="24"/>
          <w:szCs w:val="24"/>
        </w:rPr>
      </w:pPr>
      <w:r>
        <w:rPr>
          <w:rFonts w:hint="eastAsia" w:ascii="Times New Roman" w:hAnsi="Times New Roman"/>
          <w:kern w:val="0"/>
          <w:sz w:val="24"/>
          <w:szCs w:val="24"/>
        </w:rPr>
        <w:t>Chinese perspective and global thinking</w:t>
      </w:r>
    </w:p>
    <w:p>
      <w:pPr>
        <w:pStyle w:val="10"/>
        <w:adjustRightInd w:val="0"/>
        <w:snapToGrid w:val="0"/>
        <w:spacing w:line="300" w:lineRule="auto"/>
        <w:rPr>
          <w:rFonts w:ascii="Times New Roman" w:hAnsi="Times New Roman"/>
          <w:sz w:val="24"/>
          <w:szCs w:val="24"/>
        </w:rPr>
      </w:pPr>
      <w:r>
        <w:rPr>
          <w:rFonts w:hint="eastAsia" w:ascii="Times New Roman" w:hAnsi="Times New Roman"/>
          <w:sz w:val="24"/>
          <w:szCs w:val="24"/>
        </w:rPr>
        <w:t>Gain a better</w:t>
      </w:r>
      <w:r>
        <w:rPr>
          <w:rFonts w:ascii="Times New Roman" w:hAnsi="Times New Roman"/>
          <w:sz w:val="24"/>
          <w:szCs w:val="24"/>
        </w:rPr>
        <w:t xml:space="preserve"> understanding </w:t>
      </w:r>
      <w:r>
        <w:rPr>
          <w:rFonts w:hint="eastAsia" w:ascii="Times New Roman" w:hAnsi="Times New Roman"/>
          <w:sz w:val="24"/>
          <w:szCs w:val="24"/>
        </w:rPr>
        <w:t xml:space="preserve">of </w:t>
      </w:r>
      <w:r>
        <w:rPr>
          <w:rFonts w:ascii="Times New Roman" w:hAnsi="Times New Roman"/>
          <w:sz w:val="24"/>
          <w:szCs w:val="24"/>
        </w:rPr>
        <w:t xml:space="preserve">international development and governance with </w:t>
      </w:r>
      <w:r>
        <w:rPr>
          <w:rFonts w:hint="eastAsia" w:ascii="Times New Roman" w:hAnsi="Times New Roman"/>
          <w:sz w:val="24"/>
          <w:szCs w:val="24"/>
        </w:rPr>
        <w:t>emphasis of</w:t>
      </w:r>
      <w:r>
        <w:rPr>
          <w:rFonts w:ascii="Times New Roman" w:hAnsi="Times New Roman"/>
          <w:sz w:val="24"/>
          <w:szCs w:val="24"/>
        </w:rPr>
        <w:t xml:space="preserve"> China’s development experience</w:t>
      </w:r>
      <w:r>
        <w:rPr>
          <w:rFonts w:hint="eastAsia" w:ascii="Times New Roman" w:hAnsi="Times New Roman"/>
          <w:sz w:val="24"/>
          <w:szCs w:val="24"/>
        </w:rPr>
        <w:t>.</w:t>
      </w:r>
    </w:p>
    <w:p>
      <w:pPr>
        <w:pStyle w:val="10"/>
        <w:adjustRightInd w:val="0"/>
        <w:snapToGrid w:val="0"/>
        <w:spacing w:line="300" w:lineRule="auto"/>
        <w:rPr>
          <w:rFonts w:ascii="Times New Roman" w:hAnsi="Times New Roman"/>
          <w:b/>
          <w:bCs/>
          <w:sz w:val="28"/>
          <w:szCs w:val="28"/>
        </w:rPr>
      </w:pPr>
    </w:p>
    <w:p>
      <w:pPr>
        <w:pStyle w:val="10"/>
        <w:adjustRightInd w:val="0"/>
        <w:snapToGrid w:val="0"/>
        <w:spacing w:line="300" w:lineRule="auto"/>
        <w:rPr>
          <w:rFonts w:ascii="Times New Roman" w:hAnsi="Times New Roman"/>
          <w:b/>
          <w:bCs/>
          <w:sz w:val="28"/>
          <w:szCs w:val="28"/>
        </w:rPr>
      </w:pPr>
      <w:r>
        <w:rPr>
          <w:rFonts w:ascii="Times New Roman" w:hAnsi="Times New Roman"/>
          <w:b/>
          <w:bCs/>
          <w:sz w:val="28"/>
          <w:szCs w:val="28"/>
        </w:rPr>
        <w:t>II M</w:t>
      </w:r>
      <w:r>
        <w:rPr>
          <w:rFonts w:hint="eastAsia" w:ascii="Times New Roman" w:hAnsi="Times New Roman"/>
          <w:b/>
          <w:bCs/>
          <w:sz w:val="28"/>
          <w:szCs w:val="28"/>
        </w:rPr>
        <w:t>IDG</w:t>
      </w:r>
      <w:r>
        <w:rPr>
          <w:rFonts w:ascii="Times New Roman" w:hAnsi="Times New Roman"/>
          <w:b/>
          <w:bCs/>
          <w:sz w:val="28"/>
          <w:szCs w:val="28"/>
        </w:rPr>
        <w:t xml:space="preserve"> Curriculum </w:t>
      </w:r>
    </w:p>
    <w:p>
      <w:pPr>
        <w:pStyle w:val="10"/>
        <w:adjustRightInd w:val="0"/>
        <w:snapToGrid w:val="0"/>
        <w:spacing w:line="300" w:lineRule="auto"/>
        <w:rPr>
          <w:rFonts w:ascii="Times New Roman" w:hAnsi="Times New Roman"/>
          <w:b/>
          <w:bCs/>
          <w:sz w:val="24"/>
          <w:szCs w:val="24"/>
        </w:rPr>
      </w:pPr>
    </w:p>
    <w:p>
      <w:pPr>
        <w:pStyle w:val="10"/>
        <w:jc w:val="left"/>
        <w:rPr>
          <w:rFonts w:ascii="Times New Roman" w:hAnsi="Times New Roman"/>
          <w:b/>
          <w:bCs/>
          <w:sz w:val="24"/>
          <w:szCs w:val="24"/>
        </w:rPr>
      </w:pPr>
      <w:r>
        <w:rPr>
          <w:rFonts w:ascii="Times New Roman" w:hAnsi="Times New Roman"/>
          <w:b/>
          <w:bCs/>
          <w:sz w:val="24"/>
          <w:szCs w:val="24"/>
        </w:rPr>
        <w:t>Course Requirements</w:t>
      </w:r>
    </w:p>
    <w:p>
      <w:pPr>
        <w:pStyle w:val="10"/>
        <w:jc w:val="left"/>
        <w:rPr>
          <w:rFonts w:ascii="Times New Roman" w:hAnsi="Times New Roman"/>
          <w:b/>
          <w:bCs/>
          <w:sz w:val="24"/>
          <w:szCs w:val="24"/>
        </w:rPr>
      </w:pPr>
    </w:p>
    <w:p>
      <w:pPr>
        <w:pStyle w:val="10"/>
        <w:rPr>
          <w:rFonts w:ascii="Times New Roman" w:hAnsi="Times New Roman"/>
          <w:sz w:val="24"/>
          <w:szCs w:val="24"/>
        </w:rPr>
      </w:pPr>
      <w:r>
        <w:rPr>
          <w:rFonts w:ascii="Times New Roman" w:hAnsi="Times New Roman"/>
          <w:sz w:val="24"/>
          <w:szCs w:val="24"/>
        </w:rPr>
        <w:t>The M</w:t>
      </w:r>
      <w:r>
        <w:rPr>
          <w:rFonts w:hint="eastAsia" w:ascii="Times New Roman" w:hAnsi="Times New Roman"/>
          <w:sz w:val="24"/>
          <w:szCs w:val="24"/>
        </w:rPr>
        <w:t>IDG</w:t>
      </w:r>
      <w:r>
        <w:rPr>
          <w:rFonts w:ascii="Times New Roman" w:hAnsi="Times New Roman"/>
          <w:sz w:val="24"/>
          <w:szCs w:val="24"/>
        </w:rPr>
        <w:t xml:space="preserve"> program consists of </w:t>
      </w:r>
      <w:r>
        <w:rPr>
          <w:rFonts w:hint="eastAsia" w:ascii="Times New Roman" w:hAnsi="Times New Roman"/>
          <w:sz w:val="24"/>
          <w:szCs w:val="24"/>
        </w:rPr>
        <w:t>four</w:t>
      </w:r>
      <w:r>
        <w:rPr>
          <w:rFonts w:ascii="Times New Roman" w:hAnsi="Times New Roman"/>
          <w:sz w:val="24"/>
          <w:szCs w:val="24"/>
        </w:rPr>
        <w:t xml:space="preserve"> semesters of full-time academic work, with a minimum course requirement of </w:t>
      </w:r>
      <w:r>
        <w:rPr>
          <w:rFonts w:hint="eastAsia" w:ascii="Times New Roman" w:hAnsi="Times New Roman"/>
          <w:sz w:val="24"/>
          <w:szCs w:val="24"/>
        </w:rPr>
        <w:t>46</w:t>
      </w:r>
      <w:r>
        <w:rPr>
          <w:rFonts w:ascii="Times New Roman" w:hAnsi="Times New Roman"/>
          <w:sz w:val="24"/>
          <w:szCs w:val="24"/>
        </w:rPr>
        <w:t xml:space="preserve"> credits to complete the degree, including the public required course (Chinese Language), 2 credits; core courses, 12 credits; electives, no less than 1</w:t>
      </w:r>
      <w:r>
        <w:rPr>
          <w:rFonts w:hint="eastAsia" w:ascii="Times New Roman" w:hAnsi="Times New Roman"/>
          <w:sz w:val="24"/>
          <w:szCs w:val="24"/>
        </w:rPr>
        <w:t xml:space="preserve">6 </w:t>
      </w:r>
      <w:r>
        <w:rPr>
          <w:rFonts w:ascii="Times New Roman" w:hAnsi="Times New Roman"/>
          <w:sz w:val="24"/>
          <w:szCs w:val="24"/>
        </w:rPr>
        <w:t xml:space="preserve">credits; </w:t>
      </w:r>
      <w:r>
        <w:rPr>
          <w:rFonts w:hint="eastAsia" w:ascii="Times New Roman" w:hAnsi="Times New Roman"/>
          <w:sz w:val="24"/>
          <w:szCs w:val="24"/>
        </w:rPr>
        <w:t>required components</w:t>
      </w:r>
      <w:r>
        <w:rPr>
          <w:rFonts w:ascii="Times New Roman" w:hAnsi="Times New Roman"/>
          <w:sz w:val="24"/>
          <w:szCs w:val="24"/>
        </w:rPr>
        <w:t xml:space="preserve">, </w:t>
      </w:r>
      <w:r>
        <w:rPr>
          <w:rFonts w:hint="eastAsia" w:ascii="Times New Roman" w:hAnsi="Times New Roman"/>
          <w:sz w:val="24"/>
          <w:szCs w:val="24"/>
        </w:rPr>
        <w:t xml:space="preserve">7 </w:t>
      </w:r>
      <w:r>
        <w:rPr>
          <w:rFonts w:ascii="Times New Roman" w:hAnsi="Times New Roman"/>
          <w:sz w:val="24"/>
          <w:szCs w:val="24"/>
        </w:rPr>
        <w:t>credits.</w:t>
      </w:r>
    </w:p>
    <w:p>
      <w:pPr>
        <w:pStyle w:val="10"/>
        <w:rPr>
          <w:rFonts w:ascii="Times New Roman" w:hAnsi="Times New Roman"/>
          <w:sz w:val="24"/>
          <w:szCs w:val="24"/>
        </w:rPr>
      </w:pPr>
    </w:p>
    <w:p>
      <w:pPr>
        <w:pStyle w:val="10"/>
        <w:spacing w:line="300" w:lineRule="auto"/>
        <w:rPr>
          <w:rFonts w:ascii="Times New Roman" w:hAnsi="Times New Roman"/>
          <w:b/>
          <w:bCs/>
          <w:sz w:val="24"/>
          <w:szCs w:val="24"/>
        </w:rPr>
      </w:pPr>
      <w:r>
        <w:rPr>
          <w:rFonts w:ascii="Times New Roman" w:hAnsi="Times New Roman"/>
          <w:b/>
          <w:bCs/>
          <w:sz w:val="24"/>
          <w:szCs w:val="24"/>
        </w:rPr>
        <w:t>Curriculum (</w:t>
      </w:r>
      <w:r>
        <w:rPr>
          <w:rFonts w:hint="eastAsia" w:ascii="Times New Roman" w:hAnsi="Times New Roman"/>
          <w:b/>
          <w:bCs/>
          <w:sz w:val="24"/>
          <w:szCs w:val="24"/>
        </w:rPr>
        <w:t>46</w:t>
      </w:r>
      <w:r>
        <w:rPr>
          <w:rFonts w:ascii="Times New Roman" w:hAnsi="Times New Roman"/>
          <w:b/>
          <w:bCs/>
          <w:sz w:val="24"/>
          <w:szCs w:val="24"/>
        </w:rPr>
        <w:t xml:space="preserve"> credits)</w:t>
      </w:r>
    </w:p>
    <w:p>
      <w:pPr>
        <w:numPr>
          <w:ilvl w:val="0"/>
          <w:numId w:val="12"/>
        </w:numPr>
        <w:rPr>
          <w:b/>
          <w:bCs/>
          <w:kern w:val="0"/>
          <w:sz w:val="24"/>
          <w:szCs w:val="24"/>
        </w:rPr>
      </w:pPr>
      <w:r>
        <w:rPr>
          <w:rFonts w:hint="eastAsia"/>
          <w:b/>
          <w:bCs/>
          <w:kern w:val="0"/>
          <w:sz w:val="24"/>
          <w:szCs w:val="24"/>
        </w:rPr>
        <w:t>46 credits of course study</w:t>
      </w:r>
    </w:p>
    <w:p>
      <w:pPr>
        <w:numPr>
          <w:ilvl w:val="0"/>
          <w:numId w:val="13"/>
        </w:numPr>
        <w:rPr>
          <w:kern w:val="0"/>
          <w:sz w:val="24"/>
          <w:szCs w:val="24"/>
        </w:rPr>
      </w:pPr>
      <w:r>
        <w:rPr>
          <w:kern w:val="0"/>
          <w:sz w:val="24"/>
          <w:szCs w:val="24"/>
        </w:rPr>
        <w:t>1</w:t>
      </w:r>
      <w:r>
        <w:rPr>
          <w:rFonts w:hint="eastAsia"/>
          <w:kern w:val="0"/>
          <w:sz w:val="24"/>
          <w:szCs w:val="24"/>
        </w:rPr>
        <w:t>4</w:t>
      </w:r>
      <w:r>
        <w:rPr>
          <w:kern w:val="0"/>
          <w:sz w:val="24"/>
          <w:szCs w:val="24"/>
        </w:rPr>
        <w:t xml:space="preserve"> core course</w:t>
      </w:r>
      <w:r>
        <w:rPr>
          <w:rFonts w:hint="eastAsia"/>
          <w:kern w:val="0"/>
          <w:sz w:val="24"/>
          <w:szCs w:val="24"/>
        </w:rPr>
        <w:t xml:space="preserve"> </w:t>
      </w:r>
      <w:r>
        <w:rPr>
          <w:kern w:val="0"/>
          <w:sz w:val="24"/>
          <w:szCs w:val="24"/>
        </w:rPr>
        <w:t>credits</w:t>
      </w:r>
    </w:p>
    <w:p>
      <w:pPr>
        <w:numPr>
          <w:ilvl w:val="0"/>
          <w:numId w:val="14"/>
        </w:numPr>
        <w:tabs>
          <w:tab w:val="left" w:pos="840"/>
        </w:tabs>
        <w:rPr>
          <w:kern w:val="0"/>
          <w:sz w:val="24"/>
          <w:szCs w:val="24"/>
        </w:rPr>
      </w:pPr>
      <w:r>
        <w:rPr>
          <w:kern w:val="0"/>
          <w:sz w:val="24"/>
          <w:szCs w:val="24"/>
        </w:rPr>
        <w:t>9 concentration course</w:t>
      </w:r>
      <w:r>
        <w:rPr>
          <w:rFonts w:hint="eastAsia"/>
          <w:kern w:val="0"/>
          <w:sz w:val="24"/>
          <w:szCs w:val="24"/>
        </w:rPr>
        <w:t xml:space="preserve"> </w:t>
      </w:r>
      <w:r>
        <w:rPr>
          <w:kern w:val="0"/>
          <w:sz w:val="24"/>
          <w:szCs w:val="24"/>
        </w:rPr>
        <w:t>credits</w:t>
      </w:r>
    </w:p>
    <w:p>
      <w:pPr>
        <w:numPr>
          <w:ilvl w:val="0"/>
          <w:numId w:val="14"/>
        </w:numPr>
        <w:tabs>
          <w:tab w:val="left" w:pos="840"/>
        </w:tabs>
        <w:rPr>
          <w:kern w:val="0"/>
          <w:sz w:val="24"/>
          <w:szCs w:val="24"/>
        </w:rPr>
      </w:pPr>
      <w:r>
        <w:rPr>
          <w:rFonts w:hint="eastAsia"/>
          <w:kern w:val="0"/>
          <w:sz w:val="24"/>
          <w:szCs w:val="24"/>
        </w:rPr>
        <w:t>16 elective course credits</w:t>
      </w:r>
    </w:p>
    <w:p>
      <w:pPr>
        <w:numPr>
          <w:ilvl w:val="0"/>
          <w:numId w:val="14"/>
        </w:numPr>
        <w:tabs>
          <w:tab w:val="left" w:pos="840"/>
        </w:tabs>
        <w:rPr>
          <w:kern w:val="0"/>
          <w:sz w:val="24"/>
          <w:szCs w:val="24"/>
        </w:rPr>
      </w:pPr>
      <w:r>
        <w:rPr>
          <w:rFonts w:hint="eastAsia"/>
          <w:kern w:val="0"/>
          <w:sz w:val="24"/>
          <w:szCs w:val="24"/>
        </w:rPr>
        <w:t xml:space="preserve">7 </w:t>
      </w:r>
      <w:r>
        <w:rPr>
          <w:kern w:val="0"/>
          <w:sz w:val="24"/>
          <w:szCs w:val="24"/>
        </w:rPr>
        <w:t xml:space="preserve">credits </w:t>
      </w:r>
      <w:r>
        <w:rPr>
          <w:rFonts w:hint="eastAsia"/>
          <w:kern w:val="0"/>
          <w:sz w:val="24"/>
          <w:szCs w:val="24"/>
        </w:rPr>
        <w:t>from additional r</w:t>
      </w:r>
      <w:r>
        <w:rPr>
          <w:kern w:val="0"/>
          <w:sz w:val="24"/>
          <w:szCs w:val="24"/>
        </w:rPr>
        <w:t xml:space="preserve">equired </w:t>
      </w:r>
      <w:r>
        <w:rPr>
          <w:rFonts w:hint="eastAsia"/>
          <w:kern w:val="0"/>
          <w:sz w:val="24"/>
          <w:szCs w:val="24"/>
        </w:rPr>
        <w:t>c</w:t>
      </w:r>
      <w:r>
        <w:rPr>
          <w:kern w:val="0"/>
          <w:sz w:val="24"/>
          <w:szCs w:val="24"/>
        </w:rPr>
        <w:t>omponents</w:t>
      </w:r>
    </w:p>
    <w:p>
      <w:pPr>
        <w:numPr>
          <w:ilvl w:val="0"/>
          <w:numId w:val="15"/>
        </w:numPr>
        <w:rPr>
          <w:b/>
          <w:bCs/>
          <w:kern w:val="0"/>
          <w:sz w:val="24"/>
          <w:szCs w:val="24"/>
        </w:rPr>
      </w:pPr>
      <w:r>
        <w:rPr>
          <w:rFonts w:hint="eastAsia"/>
          <w:b/>
          <w:bCs/>
          <w:kern w:val="0"/>
          <w:sz w:val="24"/>
          <w:szCs w:val="24"/>
        </w:rPr>
        <w:t>Master</w:t>
      </w:r>
      <w:r>
        <w:rPr>
          <w:b/>
          <w:bCs/>
          <w:kern w:val="0"/>
          <w:sz w:val="24"/>
          <w:szCs w:val="24"/>
        </w:rPr>
        <w:t>’</w:t>
      </w:r>
      <w:r>
        <w:rPr>
          <w:rFonts w:hint="eastAsia"/>
          <w:b/>
          <w:bCs/>
          <w:kern w:val="0"/>
          <w:sz w:val="24"/>
          <w:szCs w:val="24"/>
        </w:rPr>
        <w:t>s Thesis</w:t>
      </w:r>
    </w:p>
    <w:p>
      <w:pPr>
        <w:rPr>
          <w:rFonts w:ascii="Arial" w:hAnsi="Arial" w:cs="Arial"/>
        </w:rPr>
      </w:pPr>
    </w:p>
    <w:p>
      <w:pPr>
        <w:numPr>
          <w:ilvl w:val="0"/>
          <w:numId w:val="16"/>
        </w:numPr>
        <w:tabs>
          <w:tab w:val="left" w:pos="840"/>
        </w:tabs>
        <w:rPr>
          <w:b/>
          <w:bCs/>
          <w:kern w:val="0"/>
          <w:sz w:val="24"/>
          <w:szCs w:val="24"/>
        </w:rPr>
      </w:pPr>
      <w:r>
        <w:rPr>
          <w:rFonts w:hint="eastAsia"/>
          <w:b/>
          <w:bCs/>
          <w:kern w:val="0"/>
          <w:sz w:val="24"/>
          <w:szCs w:val="24"/>
        </w:rPr>
        <w:t>P</w:t>
      </w:r>
      <w:r>
        <w:rPr>
          <w:b/>
          <w:bCs/>
          <w:kern w:val="0"/>
          <w:sz w:val="24"/>
          <w:szCs w:val="24"/>
        </w:rPr>
        <w:t xml:space="preserve">ublic </w:t>
      </w:r>
      <w:r>
        <w:rPr>
          <w:rFonts w:hint="eastAsia"/>
          <w:b/>
          <w:bCs/>
          <w:kern w:val="0"/>
          <w:sz w:val="24"/>
          <w:szCs w:val="24"/>
        </w:rPr>
        <w:t>R</w:t>
      </w:r>
      <w:r>
        <w:rPr>
          <w:b/>
          <w:bCs/>
          <w:kern w:val="0"/>
          <w:sz w:val="24"/>
          <w:szCs w:val="24"/>
        </w:rPr>
        <w:t xml:space="preserve">equired </w:t>
      </w:r>
      <w:r>
        <w:rPr>
          <w:rFonts w:hint="eastAsia"/>
          <w:b/>
          <w:bCs/>
          <w:kern w:val="0"/>
          <w:sz w:val="24"/>
          <w:szCs w:val="24"/>
        </w:rPr>
        <w:t>C</w:t>
      </w:r>
      <w:r>
        <w:rPr>
          <w:b/>
          <w:bCs/>
          <w:kern w:val="0"/>
          <w:sz w:val="24"/>
          <w:szCs w:val="24"/>
        </w:rPr>
        <w:t>ourse</w:t>
      </w:r>
      <w:r>
        <w:rPr>
          <w:rFonts w:hint="eastAsia"/>
          <w:b/>
          <w:bCs/>
          <w:kern w:val="0"/>
          <w:sz w:val="24"/>
          <w:szCs w:val="24"/>
        </w:rPr>
        <w:t xml:space="preserve"> </w:t>
      </w:r>
      <w:r>
        <w:rPr>
          <w:b/>
          <w:bCs/>
          <w:kern w:val="0"/>
          <w:sz w:val="24"/>
          <w:szCs w:val="24"/>
        </w:rPr>
        <w:t>(</w:t>
      </w:r>
      <w:r>
        <w:rPr>
          <w:rFonts w:hint="eastAsia"/>
          <w:b/>
          <w:bCs/>
          <w:kern w:val="0"/>
          <w:sz w:val="24"/>
          <w:szCs w:val="24"/>
        </w:rPr>
        <w:t>2</w:t>
      </w:r>
      <w:r>
        <w:rPr>
          <w:b/>
          <w:bCs/>
          <w:kern w:val="0"/>
          <w:sz w:val="24"/>
          <w:szCs w:val="24"/>
        </w:rPr>
        <w:t xml:space="preserve"> credits)</w:t>
      </w:r>
    </w:p>
    <w:p>
      <w:pPr>
        <w:pStyle w:val="42"/>
        <w:ind w:left="840" w:firstLine="0" w:firstLineChars="0"/>
        <w:rPr>
          <w:rFonts w:ascii="Times New Roman" w:hAnsi="Times New Roman"/>
          <w:kern w:val="0"/>
          <w:sz w:val="24"/>
          <w:szCs w:val="24"/>
        </w:rPr>
      </w:pPr>
      <w:r>
        <w:rPr>
          <w:rFonts w:hint="eastAsia" w:ascii="Times New Roman" w:hAnsi="Times New Roman"/>
          <w:kern w:val="0"/>
          <w:sz w:val="24"/>
          <w:szCs w:val="24"/>
        </w:rPr>
        <w:t xml:space="preserve">Language: </w:t>
      </w:r>
      <w:r>
        <w:rPr>
          <w:rFonts w:ascii="Times New Roman" w:hAnsi="Times New Roman"/>
          <w:kern w:val="0"/>
          <w:sz w:val="24"/>
          <w:szCs w:val="24"/>
        </w:rPr>
        <w:t>Chinese</w:t>
      </w:r>
      <w:r>
        <w:rPr>
          <w:rFonts w:hint="eastAsia" w:ascii="Times New Roman" w:hAnsi="Times New Roman"/>
          <w:kern w:val="0"/>
          <w:sz w:val="24"/>
          <w:szCs w:val="24"/>
        </w:rPr>
        <w:t xml:space="preserve">                                        2 credits</w:t>
      </w:r>
    </w:p>
    <w:p>
      <w:pPr>
        <w:ind w:left="840"/>
        <w:rPr>
          <w:b/>
          <w:bCs/>
          <w:kern w:val="0"/>
          <w:sz w:val="24"/>
          <w:szCs w:val="24"/>
        </w:rPr>
      </w:pPr>
    </w:p>
    <w:p>
      <w:pPr>
        <w:numPr>
          <w:ilvl w:val="0"/>
          <w:numId w:val="16"/>
        </w:numPr>
        <w:tabs>
          <w:tab w:val="left" w:pos="840"/>
        </w:tabs>
        <w:rPr>
          <w:b/>
          <w:bCs/>
          <w:kern w:val="0"/>
          <w:sz w:val="24"/>
          <w:szCs w:val="24"/>
        </w:rPr>
      </w:pPr>
      <w:r>
        <w:rPr>
          <w:b/>
          <w:bCs/>
          <w:kern w:val="0"/>
          <w:sz w:val="24"/>
          <w:szCs w:val="24"/>
        </w:rPr>
        <w:t>Core Courses (1</w:t>
      </w:r>
      <w:r>
        <w:rPr>
          <w:rFonts w:hint="eastAsia"/>
          <w:b/>
          <w:bCs/>
          <w:kern w:val="0"/>
          <w:sz w:val="24"/>
          <w:szCs w:val="24"/>
        </w:rPr>
        <w:t xml:space="preserve">2 </w:t>
      </w:r>
      <w:r>
        <w:rPr>
          <w:b/>
          <w:bCs/>
          <w:kern w:val="0"/>
          <w:sz w:val="24"/>
          <w:szCs w:val="24"/>
        </w:rPr>
        <w:t xml:space="preserve">credits) </w:t>
      </w:r>
    </w:p>
    <w:p>
      <w:pPr>
        <w:ind w:left="840"/>
        <w:jc w:val="distribute"/>
        <w:rPr>
          <w:kern w:val="0"/>
          <w:sz w:val="24"/>
          <w:szCs w:val="24"/>
        </w:rPr>
      </w:pPr>
      <w:r>
        <w:rPr>
          <w:rFonts w:hint="eastAsia"/>
          <w:kern w:val="0"/>
          <w:sz w:val="24"/>
          <w:szCs w:val="24"/>
        </w:rPr>
        <w:t>Public Policy Analysis                                     3 credits</w:t>
      </w:r>
    </w:p>
    <w:p>
      <w:pPr>
        <w:ind w:left="743" w:leftChars="354" w:firstLine="120" w:firstLineChars="50"/>
        <w:jc w:val="distribute"/>
        <w:rPr>
          <w:kern w:val="0"/>
          <w:sz w:val="24"/>
          <w:szCs w:val="24"/>
        </w:rPr>
      </w:pPr>
      <w:r>
        <w:rPr>
          <w:rFonts w:hint="eastAsia"/>
          <w:kern w:val="0"/>
          <w:sz w:val="24"/>
          <w:szCs w:val="24"/>
        </w:rPr>
        <w:t>Strategic Management of Public Organizations                 3 credits</w:t>
      </w:r>
    </w:p>
    <w:p>
      <w:pPr>
        <w:ind w:left="420" w:firstLine="420"/>
        <w:jc w:val="distribute"/>
        <w:rPr>
          <w:kern w:val="0"/>
          <w:sz w:val="24"/>
          <w:szCs w:val="24"/>
        </w:rPr>
      </w:pPr>
      <w:r>
        <w:rPr>
          <w:kern w:val="0"/>
          <w:sz w:val="24"/>
          <w:szCs w:val="24"/>
        </w:rPr>
        <w:t>Comparative Politics and Government</w:t>
      </w:r>
      <w:r>
        <w:rPr>
          <w:rFonts w:hint="eastAsia"/>
          <w:kern w:val="0"/>
          <w:sz w:val="24"/>
          <w:szCs w:val="24"/>
        </w:rPr>
        <w:t xml:space="preserve">                        3 credits </w:t>
      </w:r>
    </w:p>
    <w:p>
      <w:pPr>
        <w:ind w:left="420" w:firstLine="420"/>
        <w:jc w:val="distribute"/>
        <w:rPr>
          <w:kern w:val="0"/>
          <w:sz w:val="24"/>
          <w:szCs w:val="24"/>
        </w:rPr>
      </w:pPr>
      <w:r>
        <w:rPr>
          <w:rFonts w:hint="eastAsia"/>
          <w:kern w:val="0"/>
          <w:sz w:val="24"/>
          <w:szCs w:val="24"/>
        </w:rPr>
        <w:t xml:space="preserve">Economic Development: Theory and Practices                  3 credits </w:t>
      </w:r>
    </w:p>
    <w:p>
      <w:pPr>
        <w:ind w:left="420" w:firstLine="420"/>
        <w:jc w:val="distribute"/>
        <w:rPr>
          <w:kern w:val="0"/>
          <w:sz w:val="24"/>
          <w:szCs w:val="24"/>
        </w:rPr>
      </w:pPr>
      <w:r>
        <w:rPr>
          <w:rFonts w:hint="eastAsia"/>
          <w:kern w:val="0"/>
          <w:sz w:val="24"/>
          <w:szCs w:val="24"/>
        </w:rPr>
        <w:t>Research Design and Thesis Writing                        3 credits</w:t>
      </w:r>
      <w:r>
        <w:rPr>
          <w:kern w:val="0"/>
          <w:sz w:val="24"/>
          <w:szCs w:val="24"/>
        </w:rPr>
        <w:tab/>
      </w:r>
    </w:p>
    <w:p>
      <w:pPr>
        <w:ind w:left="420" w:firstLine="420"/>
        <w:rPr>
          <w:kern w:val="0"/>
          <w:sz w:val="24"/>
          <w:szCs w:val="24"/>
        </w:rPr>
      </w:pPr>
    </w:p>
    <w:p>
      <w:pPr>
        <w:ind w:left="420" w:firstLine="420"/>
        <w:rPr>
          <w:kern w:val="0"/>
          <w:sz w:val="24"/>
          <w:szCs w:val="24"/>
        </w:rPr>
      </w:pPr>
      <w:r>
        <w:rPr>
          <w:rFonts w:hint="eastAsia"/>
          <w:kern w:val="0"/>
          <w:sz w:val="24"/>
          <w:szCs w:val="24"/>
        </w:rPr>
        <w:t>Note: students are required to choose 4 from 5 above.</w:t>
      </w:r>
    </w:p>
    <w:p>
      <w:pPr>
        <w:rPr>
          <w:rFonts w:ascii="Arial" w:hAnsi="Arial" w:cs="Arial"/>
        </w:rPr>
      </w:pPr>
    </w:p>
    <w:p>
      <w:pPr>
        <w:numPr>
          <w:ilvl w:val="0"/>
          <w:numId w:val="16"/>
        </w:numPr>
        <w:tabs>
          <w:tab w:val="left" w:pos="840"/>
        </w:tabs>
        <w:rPr>
          <w:b/>
          <w:bCs/>
          <w:kern w:val="0"/>
          <w:sz w:val="24"/>
          <w:szCs w:val="24"/>
        </w:rPr>
      </w:pPr>
      <w:r>
        <w:rPr>
          <w:b/>
          <w:bCs/>
          <w:kern w:val="0"/>
          <w:sz w:val="24"/>
          <w:szCs w:val="24"/>
        </w:rPr>
        <w:t xml:space="preserve">Courses in Areas of Concentration (No less than </w:t>
      </w:r>
      <w:r>
        <w:rPr>
          <w:rFonts w:hint="eastAsia"/>
          <w:b/>
          <w:bCs/>
          <w:kern w:val="0"/>
          <w:sz w:val="24"/>
          <w:szCs w:val="24"/>
        </w:rPr>
        <w:t>9</w:t>
      </w:r>
      <w:r>
        <w:rPr>
          <w:b/>
          <w:bCs/>
          <w:kern w:val="0"/>
          <w:sz w:val="24"/>
          <w:szCs w:val="24"/>
        </w:rPr>
        <w:t xml:space="preserve"> credits / 3 credits each)</w:t>
      </w:r>
    </w:p>
    <w:p>
      <w:pPr>
        <w:ind w:left="840"/>
        <w:rPr>
          <w:rFonts w:ascii="Arial" w:hAnsi="Arial" w:cs="Arial"/>
          <w:b/>
        </w:rPr>
      </w:pPr>
    </w:p>
    <w:p>
      <w:pPr>
        <w:ind w:left="840"/>
        <w:jc w:val="distribute"/>
        <w:rPr>
          <w:kern w:val="0"/>
          <w:sz w:val="24"/>
          <w:szCs w:val="24"/>
        </w:rPr>
      </w:pPr>
      <w:r>
        <w:rPr>
          <w:kern w:val="0"/>
          <w:sz w:val="24"/>
          <w:szCs w:val="24"/>
        </w:rPr>
        <w:t>Population, Health and Development</w:t>
      </w:r>
      <w:r>
        <w:rPr>
          <w:rFonts w:hint="eastAsia"/>
          <w:kern w:val="0"/>
          <w:sz w:val="24"/>
          <w:szCs w:val="24"/>
        </w:rPr>
        <w:t xml:space="preserve">                         3 credits  </w:t>
      </w:r>
    </w:p>
    <w:p>
      <w:pPr>
        <w:ind w:left="420" w:firstLine="420"/>
        <w:jc w:val="distribute"/>
        <w:rPr>
          <w:kern w:val="0"/>
          <w:sz w:val="24"/>
          <w:szCs w:val="24"/>
        </w:rPr>
      </w:pPr>
      <w:r>
        <w:rPr>
          <w:kern w:val="0"/>
          <w:sz w:val="24"/>
          <w:szCs w:val="24"/>
        </w:rPr>
        <w:t>International / Introduct</w:t>
      </w:r>
      <w:r>
        <w:rPr>
          <w:rFonts w:hint="eastAsia"/>
          <w:kern w:val="0"/>
          <w:sz w:val="24"/>
          <w:szCs w:val="24"/>
        </w:rPr>
        <w:t>ory</w:t>
      </w:r>
      <w:r>
        <w:rPr>
          <w:kern w:val="0"/>
          <w:sz w:val="24"/>
          <w:szCs w:val="24"/>
        </w:rPr>
        <w:t xml:space="preserve"> to Public Health</w:t>
      </w:r>
      <w:r>
        <w:rPr>
          <w:rFonts w:hint="eastAsia"/>
          <w:kern w:val="0"/>
          <w:sz w:val="24"/>
          <w:szCs w:val="24"/>
        </w:rPr>
        <w:t xml:space="preserve">                    3 credits  </w:t>
      </w:r>
    </w:p>
    <w:p>
      <w:pPr>
        <w:ind w:left="420" w:firstLine="420"/>
        <w:jc w:val="distribute"/>
        <w:rPr>
          <w:rFonts w:ascii="Arial" w:hAnsi="Arial" w:cs="Arial"/>
          <w:sz w:val="20"/>
        </w:rPr>
      </w:pPr>
      <w:r>
        <w:rPr>
          <w:kern w:val="0"/>
          <w:sz w:val="24"/>
          <w:szCs w:val="24"/>
        </w:rPr>
        <w:t>Technology Innovation and Entrepreneurship</w:t>
      </w:r>
      <w:r>
        <w:rPr>
          <w:rFonts w:hint="eastAsia"/>
          <w:kern w:val="0"/>
          <w:sz w:val="24"/>
          <w:szCs w:val="24"/>
        </w:rPr>
        <w:t xml:space="preserve">                   3 credits</w:t>
      </w:r>
    </w:p>
    <w:p>
      <w:pPr>
        <w:ind w:left="420" w:firstLine="420"/>
        <w:jc w:val="distribute"/>
        <w:rPr>
          <w:kern w:val="0"/>
          <w:sz w:val="24"/>
          <w:szCs w:val="24"/>
        </w:rPr>
      </w:pPr>
      <w:r>
        <w:rPr>
          <w:kern w:val="0"/>
          <w:sz w:val="24"/>
          <w:szCs w:val="24"/>
        </w:rPr>
        <w:t>Urbanization and Social Development</w:t>
      </w:r>
      <w:r>
        <w:rPr>
          <w:rFonts w:hint="eastAsia"/>
          <w:kern w:val="0"/>
          <w:sz w:val="24"/>
          <w:szCs w:val="24"/>
        </w:rPr>
        <w:t xml:space="preserve">                        3 credits</w:t>
      </w:r>
    </w:p>
    <w:p>
      <w:pPr>
        <w:ind w:left="420" w:firstLine="420"/>
        <w:jc w:val="distribute"/>
        <w:rPr>
          <w:kern w:val="0"/>
          <w:sz w:val="24"/>
          <w:szCs w:val="24"/>
        </w:rPr>
      </w:pPr>
      <w:r>
        <w:rPr>
          <w:kern w:val="0"/>
          <w:sz w:val="24"/>
          <w:szCs w:val="24"/>
        </w:rPr>
        <w:t>Environment, Climate and Governance</w:t>
      </w:r>
      <w:r>
        <w:rPr>
          <w:rFonts w:hint="eastAsia"/>
          <w:kern w:val="0"/>
          <w:sz w:val="24"/>
          <w:szCs w:val="24"/>
        </w:rPr>
        <w:t xml:space="preserve">                        3 credits</w:t>
      </w:r>
    </w:p>
    <w:p>
      <w:pPr>
        <w:rPr>
          <w:rFonts w:ascii="Arial" w:hAnsi="Arial" w:cs="Arial"/>
        </w:rPr>
      </w:pPr>
    </w:p>
    <w:p>
      <w:pPr>
        <w:ind w:left="822" w:firstLine="18"/>
        <w:rPr>
          <w:kern w:val="0"/>
          <w:sz w:val="24"/>
          <w:szCs w:val="24"/>
        </w:rPr>
      </w:pPr>
      <w:r>
        <w:rPr>
          <w:kern w:val="0"/>
          <w:sz w:val="24"/>
          <w:szCs w:val="24"/>
        </w:rPr>
        <w:t>Note:</w:t>
      </w:r>
      <w:r>
        <w:rPr>
          <w:rFonts w:hint="eastAsia"/>
          <w:kern w:val="0"/>
          <w:sz w:val="24"/>
          <w:szCs w:val="24"/>
        </w:rPr>
        <w:t xml:space="preserve"> </w:t>
      </w:r>
      <w:r>
        <w:rPr>
          <w:kern w:val="0"/>
          <w:sz w:val="24"/>
          <w:szCs w:val="24"/>
        </w:rPr>
        <w:t xml:space="preserve">Subject to the approval of their advisors, students can also formulate their own area of concentration by taking at </w:t>
      </w:r>
      <w:r>
        <w:rPr>
          <w:rFonts w:hint="eastAsia"/>
          <w:kern w:val="0"/>
          <w:sz w:val="24"/>
          <w:szCs w:val="24"/>
        </w:rPr>
        <w:t xml:space="preserve">most 6 credits of science and engineering courses offered </w:t>
      </w:r>
      <w:r>
        <w:rPr>
          <w:kern w:val="0"/>
          <w:sz w:val="24"/>
          <w:szCs w:val="24"/>
        </w:rPr>
        <w:t>in Chinese</w:t>
      </w:r>
      <w:r>
        <w:rPr>
          <w:rFonts w:hint="eastAsia"/>
          <w:kern w:val="0"/>
          <w:sz w:val="24"/>
          <w:szCs w:val="24"/>
        </w:rPr>
        <w:t xml:space="preserve"> or English</w:t>
      </w:r>
      <w:r>
        <w:rPr>
          <w:kern w:val="0"/>
          <w:sz w:val="24"/>
          <w:szCs w:val="24"/>
        </w:rPr>
        <w:t>. Students are responsible for registering the courses online.</w:t>
      </w:r>
    </w:p>
    <w:p>
      <w:pPr>
        <w:rPr>
          <w:rFonts w:ascii="Arial" w:hAnsi="Arial" w:cs="Arial"/>
        </w:rPr>
      </w:pPr>
    </w:p>
    <w:p>
      <w:pPr>
        <w:numPr>
          <w:ilvl w:val="0"/>
          <w:numId w:val="16"/>
        </w:numPr>
        <w:tabs>
          <w:tab w:val="left" w:pos="840"/>
        </w:tabs>
        <w:rPr>
          <w:b/>
          <w:bCs/>
          <w:kern w:val="0"/>
          <w:sz w:val="24"/>
          <w:szCs w:val="24"/>
        </w:rPr>
      </w:pPr>
      <w:r>
        <w:rPr>
          <w:b/>
          <w:bCs/>
          <w:kern w:val="0"/>
          <w:sz w:val="24"/>
          <w:szCs w:val="24"/>
        </w:rPr>
        <w:t>Electives (No less than 1</w:t>
      </w:r>
      <w:r>
        <w:rPr>
          <w:rFonts w:hint="eastAsia"/>
          <w:b/>
          <w:bCs/>
          <w:kern w:val="0"/>
          <w:sz w:val="24"/>
          <w:szCs w:val="24"/>
        </w:rPr>
        <w:t xml:space="preserve">6 </w:t>
      </w:r>
      <w:r>
        <w:rPr>
          <w:b/>
          <w:bCs/>
          <w:kern w:val="0"/>
          <w:sz w:val="24"/>
          <w:szCs w:val="24"/>
        </w:rPr>
        <w:t>credits)</w:t>
      </w:r>
    </w:p>
    <w:p>
      <w:pPr>
        <w:ind w:left="840"/>
        <w:jc w:val="distribute"/>
        <w:rPr>
          <w:kern w:val="0"/>
          <w:sz w:val="24"/>
          <w:szCs w:val="24"/>
        </w:rPr>
      </w:pPr>
      <w:r>
        <w:rPr>
          <w:kern w:val="0"/>
          <w:sz w:val="24"/>
          <w:szCs w:val="24"/>
        </w:rPr>
        <w:t>Governance and Development</w:t>
      </w:r>
      <w:r>
        <w:rPr>
          <w:rFonts w:hint="eastAsia"/>
          <w:kern w:val="0"/>
          <w:sz w:val="24"/>
          <w:szCs w:val="24"/>
        </w:rPr>
        <w:t xml:space="preserve">                               3 credits</w:t>
      </w:r>
    </w:p>
    <w:p>
      <w:pPr>
        <w:ind w:left="840"/>
        <w:jc w:val="distribute"/>
        <w:rPr>
          <w:kern w:val="0"/>
          <w:sz w:val="24"/>
          <w:szCs w:val="24"/>
        </w:rPr>
      </w:pPr>
      <w:r>
        <w:rPr>
          <w:kern w:val="0"/>
          <w:sz w:val="24"/>
          <w:szCs w:val="24"/>
        </w:rPr>
        <w:t>International Political Economy</w:t>
      </w:r>
      <w:r>
        <w:rPr>
          <w:rFonts w:hint="eastAsia"/>
          <w:kern w:val="0"/>
          <w:sz w:val="24"/>
          <w:szCs w:val="24"/>
        </w:rPr>
        <w:t xml:space="preserve">                             3 credits</w:t>
      </w:r>
    </w:p>
    <w:p>
      <w:pPr>
        <w:ind w:left="840"/>
        <w:jc w:val="distribute"/>
        <w:rPr>
          <w:kern w:val="0"/>
          <w:sz w:val="24"/>
          <w:szCs w:val="24"/>
        </w:rPr>
      </w:pPr>
      <w:r>
        <w:rPr>
          <w:rFonts w:hint="eastAsia"/>
          <w:kern w:val="0"/>
          <w:sz w:val="24"/>
          <w:szCs w:val="24"/>
        </w:rPr>
        <w:t>Chinese Constitutional and Administrative Law                 3 credits</w:t>
      </w:r>
    </w:p>
    <w:p>
      <w:pPr>
        <w:ind w:left="840"/>
        <w:jc w:val="distribute"/>
        <w:rPr>
          <w:kern w:val="0"/>
          <w:sz w:val="24"/>
          <w:szCs w:val="24"/>
        </w:rPr>
      </w:pPr>
      <w:r>
        <w:rPr>
          <w:kern w:val="0"/>
          <w:sz w:val="24"/>
          <w:szCs w:val="24"/>
        </w:rPr>
        <w:t>Public Ethics and Leadership</w:t>
      </w:r>
      <w:r>
        <w:rPr>
          <w:rFonts w:hint="eastAsia"/>
          <w:kern w:val="0"/>
          <w:sz w:val="24"/>
          <w:szCs w:val="24"/>
        </w:rPr>
        <w:t xml:space="preserve">                                3 credits</w:t>
      </w:r>
    </w:p>
    <w:p>
      <w:pPr>
        <w:ind w:left="840"/>
        <w:jc w:val="distribute"/>
        <w:rPr>
          <w:kern w:val="0"/>
          <w:sz w:val="24"/>
          <w:szCs w:val="24"/>
        </w:rPr>
      </w:pPr>
      <w:r>
        <w:rPr>
          <w:kern w:val="0"/>
          <w:sz w:val="24"/>
          <w:szCs w:val="24"/>
        </w:rPr>
        <w:t>Globalization and Governance</w:t>
      </w:r>
      <w:r>
        <w:rPr>
          <w:rFonts w:hint="eastAsia"/>
          <w:kern w:val="0"/>
          <w:sz w:val="24"/>
          <w:szCs w:val="24"/>
        </w:rPr>
        <w:t xml:space="preserve">                              3 credits</w:t>
      </w:r>
    </w:p>
    <w:p>
      <w:pPr>
        <w:ind w:left="420" w:firstLine="420"/>
        <w:jc w:val="distribute"/>
        <w:rPr>
          <w:kern w:val="0"/>
          <w:sz w:val="24"/>
          <w:szCs w:val="24"/>
        </w:rPr>
      </w:pPr>
      <w:r>
        <w:rPr>
          <w:kern w:val="0"/>
          <w:sz w:val="24"/>
          <w:szCs w:val="24"/>
        </w:rPr>
        <w:t>Frontiers of Public Policy</w:t>
      </w:r>
      <w:r>
        <w:rPr>
          <w:rFonts w:hint="eastAsia"/>
          <w:kern w:val="0"/>
          <w:sz w:val="24"/>
          <w:szCs w:val="24"/>
        </w:rPr>
        <w:t xml:space="preserve">                                  3 credits</w:t>
      </w:r>
    </w:p>
    <w:p>
      <w:pPr>
        <w:ind w:left="420" w:firstLine="420"/>
        <w:jc w:val="distribute"/>
        <w:rPr>
          <w:kern w:val="0"/>
          <w:sz w:val="24"/>
          <w:szCs w:val="24"/>
        </w:rPr>
      </w:pPr>
      <w:r>
        <w:rPr>
          <w:kern w:val="0"/>
          <w:sz w:val="24"/>
          <w:szCs w:val="24"/>
        </w:rPr>
        <w:t>Integrated Approaches to Sustainable Development Practice</w:t>
      </w:r>
      <w:r>
        <w:rPr>
          <w:rFonts w:hint="eastAsia"/>
          <w:kern w:val="0"/>
          <w:sz w:val="24"/>
          <w:szCs w:val="24"/>
        </w:rPr>
        <w:t xml:space="preserve">       3 credits</w:t>
      </w:r>
    </w:p>
    <w:p>
      <w:pPr>
        <w:ind w:left="420" w:firstLine="420"/>
        <w:jc w:val="distribute"/>
        <w:rPr>
          <w:kern w:val="0"/>
          <w:sz w:val="24"/>
          <w:szCs w:val="24"/>
        </w:rPr>
      </w:pPr>
      <w:r>
        <w:rPr>
          <w:kern w:val="0"/>
          <w:sz w:val="24"/>
          <w:szCs w:val="24"/>
        </w:rPr>
        <w:t>Comparative Development</w:t>
      </w:r>
      <w:r>
        <w:rPr>
          <w:rFonts w:hint="eastAsia"/>
          <w:kern w:val="0"/>
          <w:sz w:val="24"/>
          <w:szCs w:val="24"/>
        </w:rPr>
        <w:t xml:space="preserve">                                 3 credits</w:t>
      </w:r>
    </w:p>
    <w:p>
      <w:pPr>
        <w:ind w:left="420" w:firstLine="420"/>
        <w:jc w:val="distribute"/>
        <w:rPr>
          <w:kern w:val="0"/>
          <w:sz w:val="24"/>
          <w:szCs w:val="24"/>
        </w:rPr>
      </w:pPr>
      <w:r>
        <w:rPr>
          <w:kern w:val="0"/>
          <w:sz w:val="24"/>
          <w:szCs w:val="24"/>
        </w:rPr>
        <w:t>Politics and Government in China</w:t>
      </w:r>
      <w:r>
        <w:rPr>
          <w:rFonts w:hint="eastAsia"/>
          <w:kern w:val="0"/>
          <w:sz w:val="24"/>
          <w:szCs w:val="24"/>
        </w:rPr>
        <w:t xml:space="preserve">                            3 credits</w:t>
      </w:r>
    </w:p>
    <w:p>
      <w:pPr>
        <w:ind w:left="420" w:firstLine="420"/>
        <w:jc w:val="distribute"/>
        <w:rPr>
          <w:kern w:val="0"/>
          <w:sz w:val="24"/>
          <w:szCs w:val="24"/>
        </w:rPr>
      </w:pPr>
      <w:r>
        <w:rPr>
          <w:kern w:val="0"/>
          <w:sz w:val="24"/>
          <w:szCs w:val="24"/>
        </w:rPr>
        <w:t xml:space="preserve">Economic Development and </w:t>
      </w:r>
      <w:r>
        <w:rPr>
          <w:rFonts w:hint="eastAsia"/>
          <w:kern w:val="0"/>
          <w:sz w:val="24"/>
          <w:szCs w:val="24"/>
        </w:rPr>
        <w:t>P</w:t>
      </w:r>
      <w:r>
        <w:rPr>
          <w:kern w:val="0"/>
          <w:sz w:val="24"/>
          <w:szCs w:val="24"/>
        </w:rPr>
        <w:t>olicy in China</w:t>
      </w:r>
      <w:r>
        <w:rPr>
          <w:rFonts w:hint="eastAsia"/>
          <w:kern w:val="0"/>
          <w:sz w:val="24"/>
          <w:szCs w:val="24"/>
        </w:rPr>
        <w:t xml:space="preserve">                   3 credits</w:t>
      </w:r>
    </w:p>
    <w:p>
      <w:pPr>
        <w:ind w:left="420" w:firstLine="420"/>
        <w:jc w:val="distribute"/>
        <w:rPr>
          <w:kern w:val="0"/>
          <w:sz w:val="24"/>
          <w:szCs w:val="24"/>
        </w:rPr>
      </w:pPr>
      <w:r>
        <w:rPr>
          <w:kern w:val="0"/>
          <w:sz w:val="24"/>
          <w:szCs w:val="24"/>
        </w:rPr>
        <w:t>China’s Social Policy</w:t>
      </w:r>
      <w:r>
        <w:rPr>
          <w:rFonts w:hint="eastAsia"/>
          <w:kern w:val="0"/>
          <w:sz w:val="24"/>
          <w:szCs w:val="24"/>
        </w:rPr>
        <w:t xml:space="preserve">                                      3 credits</w:t>
      </w:r>
    </w:p>
    <w:p>
      <w:pPr>
        <w:ind w:left="420" w:firstLine="420"/>
        <w:jc w:val="distribute"/>
        <w:rPr>
          <w:kern w:val="0"/>
          <w:sz w:val="24"/>
          <w:szCs w:val="24"/>
        </w:rPr>
      </w:pPr>
      <w:r>
        <w:rPr>
          <w:kern w:val="0"/>
          <w:sz w:val="24"/>
          <w:szCs w:val="24"/>
        </w:rPr>
        <w:t>China’s Foreign Strategy and Policy</w:t>
      </w:r>
      <w:r>
        <w:rPr>
          <w:rFonts w:hint="eastAsia"/>
          <w:kern w:val="0"/>
          <w:sz w:val="24"/>
          <w:szCs w:val="24"/>
        </w:rPr>
        <w:t xml:space="preserve">                          3 credits</w:t>
      </w:r>
    </w:p>
    <w:p>
      <w:pPr>
        <w:ind w:left="420" w:firstLine="420"/>
        <w:jc w:val="distribute"/>
        <w:rPr>
          <w:kern w:val="0"/>
          <w:sz w:val="24"/>
          <w:szCs w:val="24"/>
        </w:rPr>
      </w:pPr>
      <w:r>
        <w:rPr>
          <w:rFonts w:hint="eastAsia"/>
          <w:kern w:val="0"/>
          <w:sz w:val="24"/>
          <w:szCs w:val="24"/>
        </w:rPr>
        <w:t>Frontier of Public Management                              3 credits</w:t>
      </w:r>
    </w:p>
    <w:p>
      <w:pPr>
        <w:ind w:left="420" w:firstLine="420"/>
        <w:jc w:val="distribute"/>
        <w:rPr>
          <w:kern w:val="0"/>
          <w:sz w:val="24"/>
          <w:szCs w:val="24"/>
        </w:rPr>
      </w:pPr>
      <w:r>
        <w:rPr>
          <w:rFonts w:hint="eastAsia"/>
          <w:kern w:val="0"/>
          <w:sz w:val="24"/>
          <w:szCs w:val="24"/>
        </w:rPr>
        <w:t>Development:</w:t>
      </w:r>
      <w:r>
        <w:rPr>
          <w:kern w:val="0"/>
          <w:sz w:val="24"/>
          <w:szCs w:val="24"/>
        </w:rPr>
        <w:t xml:space="preserve"> </w:t>
      </w:r>
      <w:r>
        <w:rPr>
          <w:rFonts w:hint="eastAsia"/>
          <w:kern w:val="0"/>
          <w:sz w:val="24"/>
          <w:szCs w:val="24"/>
        </w:rPr>
        <w:t>Theory and Practice                         3 credits</w:t>
      </w:r>
    </w:p>
    <w:p>
      <w:pPr>
        <w:ind w:left="420" w:firstLine="420"/>
        <w:jc w:val="distribute"/>
        <w:rPr>
          <w:kern w:val="0"/>
          <w:sz w:val="24"/>
          <w:szCs w:val="24"/>
        </w:rPr>
      </w:pPr>
      <w:r>
        <w:rPr>
          <w:rFonts w:hint="eastAsia"/>
          <w:kern w:val="0"/>
          <w:sz w:val="24"/>
          <w:szCs w:val="24"/>
        </w:rPr>
        <w:t>Applied Social Research Methods                          3 credits</w:t>
      </w:r>
    </w:p>
    <w:p>
      <w:pPr>
        <w:ind w:left="420" w:firstLine="420"/>
        <w:jc w:val="distribute"/>
        <w:rPr>
          <w:kern w:val="0"/>
          <w:sz w:val="24"/>
          <w:szCs w:val="24"/>
        </w:rPr>
      </w:pPr>
      <w:r>
        <w:rPr>
          <w:rFonts w:hint="eastAsia"/>
          <w:kern w:val="0"/>
          <w:sz w:val="24"/>
          <w:szCs w:val="24"/>
        </w:rPr>
        <w:t xml:space="preserve">Guest Lecture Series </w:t>
      </w:r>
      <w:r>
        <w:rPr>
          <w:kern w:val="0"/>
          <w:sz w:val="24"/>
          <w:szCs w:val="24"/>
        </w:rPr>
        <w:fldChar w:fldCharType="begin"/>
      </w:r>
      <w:r>
        <w:rPr>
          <w:kern w:val="0"/>
          <w:sz w:val="24"/>
          <w:szCs w:val="24"/>
        </w:rPr>
        <w:instrText xml:space="preserve"> </w:instrText>
      </w:r>
      <w:r>
        <w:rPr>
          <w:rFonts w:hint="eastAsia"/>
          <w:kern w:val="0"/>
          <w:sz w:val="24"/>
          <w:szCs w:val="24"/>
        </w:rPr>
        <w:instrText xml:space="preserve">= 1 \* ROMAN</w:instrText>
      </w:r>
      <w:r>
        <w:rPr>
          <w:kern w:val="0"/>
          <w:sz w:val="24"/>
          <w:szCs w:val="24"/>
        </w:rPr>
        <w:instrText xml:space="preserve"> </w:instrText>
      </w:r>
      <w:r>
        <w:rPr>
          <w:kern w:val="0"/>
          <w:sz w:val="24"/>
          <w:szCs w:val="24"/>
        </w:rPr>
        <w:fldChar w:fldCharType="separate"/>
      </w:r>
      <w:r>
        <w:rPr>
          <w:kern w:val="0"/>
          <w:sz w:val="24"/>
          <w:szCs w:val="24"/>
        </w:rPr>
        <w:t>I</w:t>
      </w:r>
      <w:r>
        <w:rPr>
          <w:kern w:val="0"/>
          <w:sz w:val="24"/>
          <w:szCs w:val="24"/>
        </w:rPr>
        <w:fldChar w:fldCharType="end"/>
      </w:r>
      <w:r>
        <w:rPr>
          <w:rFonts w:hint="eastAsia"/>
          <w:kern w:val="0"/>
          <w:sz w:val="24"/>
          <w:szCs w:val="24"/>
        </w:rPr>
        <w:t xml:space="preserve">                                   1 credits</w:t>
      </w:r>
    </w:p>
    <w:p>
      <w:pPr>
        <w:ind w:left="420" w:firstLine="420"/>
        <w:rPr>
          <w:rFonts w:ascii="Arial" w:hAnsi="Arial" w:cs="Arial"/>
          <w:sz w:val="20"/>
        </w:rPr>
      </w:pPr>
    </w:p>
    <w:p>
      <w:pPr>
        <w:ind w:left="851"/>
        <w:rPr>
          <w:kern w:val="0"/>
          <w:sz w:val="24"/>
          <w:szCs w:val="24"/>
        </w:rPr>
      </w:pPr>
      <w:r>
        <w:rPr>
          <w:kern w:val="0"/>
          <w:sz w:val="24"/>
          <w:szCs w:val="24"/>
        </w:rPr>
        <w:t xml:space="preserve">Note: </w:t>
      </w:r>
      <w:r>
        <w:rPr>
          <w:rFonts w:hint="eastAsia"/>
          <w:kern w:val="0"/>
          <w:sz w:val="24"/>
          <w:szCs w:val="24"/>
        </w:rPr>
        <w:t xml:space="preserve">Students can take </w:t>
      </w:r>
      <w:r>
        <w:rPr>
          <w:kern w:val="0"/>
          <w:sz w:val="24"/>
          <w:szCs w:val="24"/>
        </w:rPr>
        <w:t>other</w:t>
      </w:r>
      <w:r>
        <w:rPr>
          <w:rFonts w:hint="eastAsia"/>
          <w:kern w:val="0"/>
          <w:sz w:val="24"/>
          <w:szCs w:val="24"/>
        </w:rPr>
        <w:t xml:space="preserve"> courses offered to graduate students by Tsinghua University (Chinese or English)</w:t>
      </w:r>
      <w:r>
        <w:rPr>
          <w:kern w:val="0"/>
          <w:sz w:val="24"/>
          <w:szCs w:val="24"/>
        </w:rPr>
        <w:t xml:space="preserve"> with advisor’s approval</w:t>
      </w:r>
      <w:r>
        <w:rPr>
          <w:rFonts w:hint="eastAsia"/>
          <w:kern w:val="0"/>
          <w:sz w:val="24"/>
          <w:szCs w:val="24"/>
        </w:rPr>
        <w:t>.</w:t>
      </w:r>
    </w:p>
    <w:p>
      <w:pPr>
        <w:ind w:left="851"/>
        <w:rPr>
          <w:rFonts w:ascii="Arial" w:hAnsi="Arial" w:cs="Arial"/>
          <w:u w:val="single"/>
        </w:rPr>
      </w:pPr>
    </w:p>
    <w:p>
      <w:pPr>
        <w:numPr>
          <w:ilvl w:val="0"/>
          <w:numId w:val="16"/>
        </w:numPr>
        <w:tabs>
          <w:tab w:val="left" w:pos="840"/>
        </w:tabs>
        <w:rPr>
          <w:b/>
          <w:bCs/>
          <w:kern w:val="0"/>
          <w:sz w:val="24"/>
          <w:szCs w:val="24"/>
        </w:rPr>
      </w:pPr>
      <w:r>
        <w:rPr>
          <w:b/>
          <w:bCs/>
          <w:kern w:val="0"/>
          <w:sz w:val="24"/>
          <w:szCs w:val="24"/>
        </w:rPr>
        <w:t>Required Components (</w:t>
      </w:r>
      <w:r>
        <w:rPr>
          <w:rFonts w:hint="eastAsia"/>
          <w:b/>
          <w:bCs/>
          <w:kern w:val="0"/>
          <w:sz w:val="24"/>
          <w:szCs w:val="24"/>
        </w:rPr>
        <w:t>7</w:t>
      </w:r>
      <w:r>
        <w:rPr>
          <w:b/>
          <w:bCs/>
          <w:kern w:val="0"/>
          <w:sz w:val="24"/>
          <w:szCs w:val="24"/>
        </w:rPr>
        <w:t>credits)</w:t>
      </w:r>
    </w:p>
    <w:p>
      <w:pPr>
        <w:ind w:left="840"/>
        <w:rPr>
          <w:rFonts w:ascii="Arial" w:hAnsi="Arial" w:cs="Arial"/>
          <w:b/>
        </w:rPr>
      </w:pPr>
    </w:p>
    <w:p>
      <w:pPr>
        <w:pStyle w:val="42"/>
        <w:ind w:left="840" w:firstLine="0" w:firstLineChars="0"/>
        <w:jc w:val="distribute"/>
        <w:rPr>
          <w:rFonts w:ascii="Times New Roman" w:hAnsi="Times New Roman"/>
          <w:kern w:val="0"/>
          <w:sz w:val="24"/>
          <w:szCs w:val="24"/>
        </w:rPr>
      </w:pPr>
      <w:r>
        <w:rPr>
          <w:rFonts w:hint="eastAsia" w:ascii="Times New Roman" w:hAnsi="Times New Roman"/>
          <w:kern w:val="0"/>
          <w:sz w:val="24"/>
          <w:szCs w:val="24"/>
        </w:rPr>
        <w:t>China Development: Field Trip Series                      3 credits</w:t>
      </w:r>
    </w:p>
    <w:p>
      <w:pPr>
        <w:ind w:left="840"/>
        <w:jc w:val="distribute"/>
        <w:rPr>
          <w:kern w:val="0"/>
          <w:sz w:val="24"/>
          <w:szCs w:val="24"/>
        </w:rPr>
      </w:pPr>
      <w:r>
        <w:rPr>
          <w:kern w:val="0"/>
          <w:sz w:val="24"/>
          <w:szCs w:val="24"/>
        </w:rPr>
        <w:t>Literature Review and Thesis Proposal</w:t>
      </w:r>
      <w:r>
        <w:rPr>
          <w:kern w:val="0"/>
          <w:sz w:val="24"/>
          <w:szCs w:val="24"/>
        </w:rPr>
        <w:tab/>
      </w:r>
      <w:r>
        <w:rPr>
          <w:kern w:val="0"/>
          <w:sz w:val="24"/>
          <w:szCs w:val="24"/>
        </w:rPr>
        <w:t xml:space="preserve"> </w:t>
      </w:r>
      <w:r>
        <w:rPr>
          <w:rFonts w:hint="eastAsia"/>
          <w:kern w:val="0"/>
          <w:sz w:val="24"/>
          <w:szCs w:val="24"/>
        </w:rPr>
        <w:t xml:space="preserve">                      1 credit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right" w:pos="8306"/>
        </w:tabs>
        <w:ind w:left="420" w:firstLine="420"/>
        <w:jc w:val="distribute"/>
        <w:rPr>
          <w:kern w:val="0"/>
          <w:sz w:val="24"/>
          <w:szCs w:val="24"/>
        </w:rPr>
      </w:pPr>
      <w:r>
        <w:rPr>
          <w:kern w:val="0"/>
          <w:sz w:val="24"/>
          <w:szCs w:val="24"/>
        </w:rPr>
        <w:t>Independent Study</w:t>
      </w:r>
      <w:r>
        <w:rPr>
          <w:kern w:val="0"/>
          <w:sz w:val="24"/>
          <w:szCs w:val="24"/>
        </w:rPr>
        <w:tab/>
      </w:r>
      <w:r>
        <w:rPr>
          <w:kern w:val="0"/>
          <w:sz w:val="24"/>
          <w:szCs w:val="24"/>
        </w:rPr>
        <w:tab/>
      </w:r>
      <w:r>
        <w:rPr>
          <w:kern w:val="0"/>
          <w:sz w:val="24"/>
          <w:szCs w:val="24"/>
        </w:rPr>
        <w:t xml:space="preserve"> </w:t>
      </w:r>
      <w:r>
        <w:rPr>
          <w:rFonts w:hint="eastAsia"/>
          <w:kern w:val="0"/>
          <w:sz w:val="24"/>
          <w:szCs w:val="24"/>
        </w:rPr>
        <w:t xml:space="preserve">                                 </w:t>
      </w:r>
      <w:r>
        <w:rPr>
          <w:kern w:val="0"/>
          <w:sz w:val="24"/>
          <w:szCs w:val="24"/>
        </w:rPr>
        <w:t>3 credits</w:t>
      </w:r>
      <w:r>
        <w:rPr>
          <w:kern w:val="0"/>
          <w:sz w:val="24"/>
          <w:szCs w:val="24"/>
        </w:rPr>
        <w:tab/>
      </w:r>
    </w:p>
    <w:p>
      <w:pPr>
        <w:ind w:left="851"/>
        <w:rPr>
          <w:rFonts w:ascii="Arial" w:hAnsi="Arial" w:cs="Arial"/>
          <w:u w:val="single"/>
        </w:rPr>
      </w:pPr>
    </w:p>
    <w:p>
      <w:pPr>
        <w:ind w:left="851"/>
        <w:rPr>
          <w:kern w:val="0"/>
          <w:sz w:val="24"/>
          <w:szCs w:val="24"/>
        </w:rPr>
      </w:pPr>
      <w:r>
        <w:rPr>
          <w:rFonts w:hint="eastAsia"/>
          <w:kern w:val="0"/>
          <w:sz w:val="24"/>
          <w:szCs w:val="24"/>
        </w:rPr>
        <w:t xml:space="preserve">Note: </w:t>
      </w:r>
    </w:p>
    <w:p>
      <w:pPr>
        <w:pStyle w:val="42"/>
        <w:numPr>
          <w:ilvl w:val="0"/>
          <w:numId w:val="17"/>
        </w:numPr>
        <w:ind w:firstLineChars="0"/>
        <w:rPr>
          <w:rFonts w:ascii="Times New Roman" w:hAnsi="Times New Roman"/>
          <w:kern w:val="0"/>
          <w:sz w:val="24"/>
          <w:szCs w:val="24"/>
        </w:rPr>
      </w:pPr>
      <w:r>
        <w:rPr>
          <w:rFonts w:hint="eastAsia" w:ascii="Times New Roman" w:hAnsi="Times New Roman"/>
          <w:kern w:val="0"/>
          <w:sz w:val="24"/>
          <w:szCs w:val="24"/>
        </w:rPr>
        <w:t>If you select China Development: Field Trip Series, you have to participate in the field trips (no less than 6 days in total) organized in the first three semesters. The reflection paper is also required to be submitted.</w:t>
      </w:r>
    </w:p>
    <w:p>
      <w:pPr>
        <w:pStyle w:val="42"/>
        <w:numPr>
          <w:ilvl w:val="0"/>
          <w:numId w:val="17"/>
        </w:numPr>
        <w:ind w:firstLineChars="0"/>
        <w:rPr>
          <w:rFonts w:ascii="Times New Roman" w:hAnsi="Times New Roman"/>
          <w:kern w:val="0"/>
          <w:sz w:val="24"/>
          <w:szCs w:val="24"/>
        </w:rPr>
      </w:pPr>
      <w:r>
        <w:rPr>
          <w:rFonts w:hint="eastAsia" w:ascii="Times New Roman" w:hAnsi="Times New Roman"/>
          <w:kern w:val="0"/>
          <w:sz w:val="24"/>
          <w:szCs w:val="24"/>
        </w:rPr>
        <w:t>If you select Guest Lecture Series I, you are required to fulfill 1 credit which is worth of 16 lecture hours. Also, students are required to hand in the course reflection report.</w:t>
      </w:r>
    </w:p>
    <w:p>
      <w:pPr>
        <w:pStyle w:val="42"/>
        <w:ind w:left="1271" w:firstLine="0" w:firstLineChars="0"/>
        <w:rPr>
          <w:rFonts w:ascii="Times New Roman" w:hAnsi="Times New Roman"/>
          <w:kern w:val="0"/>
          <w:sz w:val="24"/>
          <w:szCs w:val="24"/>
        </w:rPr>
      </w:pPr>
    </w:p>
    <w:p>
      <w:pPr>
        <w:rPr>
          <w:kern w:val="0"/>
          <w:sz w:val="24"/>
          <w:szCs w:val="24"/>
        </w:rPr>
      </w:pPr>
      <w:r>
        <w:rPr>
          <w:kern w:val="0"/>
          <w:sz w:val="24"/>
          <w:szCs w:val="24"/>
        </w:rPr>
        <w:t>Degree to be conferred: Master of Public Administration</w:t>
      </w:r>
      <w:r>
        <w:rPr>
          <w:rFonts w:hint="eastAsia"/>
          <w:kern w:val="0"/>
          <w:sz w:val="24"/>
          <w:szCs w:val="24"/>
        </w:rPr>
        <w:t>.</w:t>
      </w:r>
    </w:p>
    <w:p>
      <w:pPr>
        <w:pStyle w:val="10"/>
        <w:adjustRightInd w:val="0"/>
        <w:snapToGrid w:val="0"/>
        <w:spacing w:line="300" w:lineRule="auto"/>
        <w:rPr>
          <w:rFonts w:ascii="Times New Roman" w:hAnsi="Times New Roman"/>
          <w:b/>
          <w:bCs/>
          <w:sz w:val="30"/>
          <w:szCs w:val="30"/>
        </w:rPr>
      </w:pPr>
    </w:p>
    <w:p>
      <w:pPr>
        <w:pStyle w:val="10"/>
        <w:adjustRightInd w:val="0"/>
        <w:snapToGrid w:val="0"/>
        <w:rPr>
          <w:rFonts w:ascii="Times New Roman" w:hAnsi="Times New Roman"/>
          <w:b/>
          <w:bCs/>
          <w:sz w:val="28"/>
          <w:szCs w:val="28"/>
        </w:rPr>
      </w:pPr>
      <w:r>
        <w:rPr>
          <w:rFonts w:ascii="Times New Roman" w:hAnsi="Times New Roman"/>
          <w:b/>
          <w:bCs/>
          <w:sz w:val="28"/>
          <w:szCs w:val="28"/>
        </w:rPr>
        <w:t>III - Course Descriptions (Partial)</w:t>
      </w:r>
    </w:p>
    <w:p>
      <w:pPr>
        <w:pStyle w:val="10"/>
        <w:adjustRightInd w:val="0"/>
        <w:snapToGrid w:val="0"/>
        <w:rPr>
          <w:rFonts w:ascii="Times New Roman" w:hAnsi="Times New Roman"/>
          <w:b/>
          <w:bCs/>
          <w:sz w:val="28"/>
          <w:szCs w:val="28"/>
        </w:rPr>
      </w:pPr>
    </w:p>
    <w:p>
      <w:pPr>
        <w:rPr>
          <w:b/>
          <w:bCs/>
        </w:rPr>
      </w:pPr>
      <w:r>
        <w:rPr>
          <w:b/>
          <w:bCs/>
        </w:rPr>
        <w:t>Public Policy Analysis</w:t>
      </w:r>
    </w:p>
    <w:p>
      <w:pPr>
        <w:widowControl/>
        <w:rPr>
          <w:kern w:val="0"/>
        </w:rPr>
      </w:pPr>
      <w:r>
        <w:rPr>
          <w:kern w:val="0"/>
        </w:rPr>
        <w:t>This course introduces students with modern theories of public policy analysis as an important academic branch of public administration. With ample cases, this course discusses relevant theories on policy process and policy analysis. The ultimate goal for this course is to enlarge students’ knowledge pool on basic public policy theories, and to help students dragging these theories down to the earth by identifying policy problems, setting up and balancing policy goals, picking up policy instruments, establishing policy analysis framework, providing policy suggestions, evaluating policy implementation efforts, and selecting advanced analysis tools.</w:t>
      </w:r>
    </w:p>
    <w:p>
      <w:pPr>
        <w:widowControl/>
        <w:rPr>
          <w:kern w:val="0"/>
        </w:rPr>
      </w:pPr>
    </w:p>
    <w:p>
      <w:pPr>
        <w:rPr>
          <w:b/>
          <w:bCs/>
        </w:rPr>
      </w:pPr>
      <w:r>
        <w:rPr>
          <w:b/>
          <w:bCs/>
        </w:rPr>
        <w:t>Public Organization and Management</w:t>
      </w:r>
    </w:p>
    <w:p>
      <w:pPr>
        <w:widowControl/>
        <w:rPr>
          <w:kern w:val="0"/>
        </w:rPr>
      </w:pPr>
      <w:r>
        <w:rPr>
          <w:kern w:val="0"/>
        </w:rPr>
        <w:t>This course aims to introduce to the students the major concepts, theories and practices of contemporary public management. It will also help students access and understand the practices of Chinese public administration in the reform era. To achieve this end, instructor will adopt various teaching methods, including lecturing, case discussion, group presentations and on-site visits. Students are expected to actively participate in the teaching process and contribute to the classroom discussion.</w:t>
      </w:r>
    </w:p>
    <w:p>
      <w:pPr>
        <w:widowControl/>
        <w:rPr>
          <w:kern w:val="0"/>
        </w:rPr>
      </w:pPr>
    </w:p>
    <w:p>
      <w:pPr>
        <w:rPr>
          <w:b/>
          <w:bCs/>
        </w:rPr>
      </w:pPr>
      <w:r>
        <w:rPr>
          <w:b/>
          <w:bCs/>
        </w:rPr>
        <w:t xml:space="preserve">Comparative Politics and Government </w:t>
      </w:r>
    </w:p>
    <w:p>
      <w:pPr/>
      <w:r>
        <w:t>This course is a general introduction to basic concepts and issues of comparative politics. This course builds a basic foundation for students to understand and analyze politics and governments in major countries, including the United States, China and some developing countries (areas) in East Asia. The course starts with two most important political ideologies, liberalism and Marxism, and their practice in the United States and China through a close look at the political institutions in these two countries. It then examines the important experiences of economic development in developing countries by relying on the two different theoretical perspectives, dependency theory and the model of developmental state. It then moves to the important issues of political development and effects of political culture on political development.</w:t>
      </w:r>
    </w:p>
    <w:p>
      <w:pPr>
        <w:rPr>
          <w:b/>
          <w:bCs/>
        </w:rPr>
      </w:pPr>
    </w:p>
    <w:p>
      <w:pPr>
        <w:rPr>
          <w:b/>
          <w:bCs/>
        </w:rPr>
      </w:pPr>
      <w:r>
        <w:rPr>
          <w:b/>
          <w:bCs/>
        </w:rPr>
        <w:t xml:space="preserve">Economic Development: Theory and Practice </w:t>
      </w:r>
    </w:p>
    <w:p>
      <w:pPr/>
      <w:r>
        <w:t>This course explores the theory and practice of development in general and China's economic development in the past several decades in particular. It begins by considering early theories of development associated with European industrialization; proceeds to review the ideological contest between modernization theory and dependency theory which dominated the initial post-colonial debate about development; assesses more recent theoretical moves in the direction of neoliberalism and the so-called 'Third Way' and concludes by seeking to reframe the concept of development in the context of globalization. Finally, it uses various case studies to explore the sources of China's recent development.</w:t>
      </w:r>
    </w:p>
    <w:p>
      <w:pPr>
        <w:rPr>
          <w:b/>
          <w:bCs/>
        </w:rPr>
      </w:pPr>
    </w:p>
    <w:p>
      <w:pPr>
        <w:rPr>
          <w:b/>
          <w:bCs/>
        </w:rPr>
      </w:pPr>
      <w:r>
        <w:rPr>
          <w:b/>
          <w:bCs/>
        </w:rPr>
        <w:t>Research Design and Thesis writing</w:t>
      </w:r>
    </w:p>
    <w:p>
      <w:pPr>
        <w:widowControl/>
        <w:rPr>
          <w:kern w:val="0"/>
        </w:rPr>
      </w:pPr>
      <w:r>
        <w:rPr>
          <w:kern w:val="0"/>
        </w:rPr>
        <w:t>This course introduces to students major concepts and techniques for research design of social science. Although scholars and practitioners in the field of public administration might still have different views on whether we should have a unified methodological system, here we focus primarily on how to conduct feasible, reliable, and empirically falsifiable research. We will discuss the philosophy, the craft and the technology of social science research. Practically, this course aims to help students finish their thesis proposals step by step. Written assignments and student presentations are intentionally designed as practice for thesis writing and defense. Beyond this, students are also expected to develop a scientific thinking towards policy issues and to know how to search for other analytical methods not covered in this course in the future.</w:t>
      </w:r>
    </w:p>
    <w:p>
      <w:pPr/>
    </w:p>
    <w:p>
      <w:pPr>
        <w:rPr>
          <w:b/>
          <w:bCs/>
        </w:rPr>
      </w:pPr>
      <w:r>
        <w:rPr>
          <w:b/>
          <w:bCs/>
        </w:rPr>
        <w:t xml:space="preserve">Governance and Development </w:t>
      </w:r>
    </w:p>
    <w:p>
      <w:pPr/>
      <w:r>
        <w:t>This course introduces to the students the evolution of development thinking and experiences since the end of the Second World War. It covers the colonial backgrounds and legacies, the development policies from 1950s to 1970s, the rise of the “Washington Consensus” in the late 1980s and the search for its alternatives from the Asian Financial Crisis in 1997 up to now. The current issues of “governance” is viewed from a historical perspective and analyzed with the aid of the latest theoretical advancement as exemplified in the World Development Report 2006 “Equity and Development”.</w:t>
      </w:r>
    </w:p>
    <w:p>
      <w:pPr/>
    </w:p>
    <w:p>
      <w:pPr>
        <w:rPr>
          <w:b/>
          <w:bCs/>
        </w:rPr>
      </w:pPr>
      <w:r>
        <w:rPr>
          <w:b/>
          <w:bCs/>
        </w:rPr>
        <w:t>International Political Economy</w:t>
      </w:r>
    </w:p>
    <w:p>
      <w:pPr>
        <w:widowControl/>
        <w:rPr>
          <w:kern w:val="0"/>
        </w:rPr>
      </w:pPr>
      <w:r>
        <w:rPr>
          <w:kern w:val="0"/>
        </w:rPr>
        <w:t>Seminar conducted in English</w:t>
      </w:r>
    </w:p>
    <w:p>
      <w:pPr>
        <w:widowControl/>
        <w:rPr>
          <w:kern w:val="0"/>
        </w:rPr>
      </w:pPr>
      <w:r>
        <w:rPr>
          <w:kern w:val="0"/>
        </w:rPr>
        <w:t>This course provides an overview of the field of international political economy (IPE) to students who have no previous background knowledge. The main aim is to help students to understand the interaction between international political and economic systems, forces and actors, including such interaction at and between international and domestic levels. It also aims to provide an understanding of development related issues in the international political economy. By the end of the module students will be able</w:t>
      </w:r>
      <w:r>
        <w:rPr>
          <w:rFonts w:hint="eastAsia"/>
          <w:kern w:val="0"/>
        </w:rPr>
        <w:t xml:space="preserve"> </w:t>
      </w:r>
      <w:r>
        <w:rPr>
          <w:kern w:val="0"/>
        </w:rPr>
        <w:t>to: (1) Demonstrate knowledge of the key features of the international political economy and different analytical frameworks used to analy</w:t>
      </w:r>
      <w:r>
        <w:rPr>
          <w:rFonts w:hint="eastAsia"/>
          <w:kern w:val="0"/>
        </w:rPr>
        <w:t>z</w:t>
      </w:r>
      <w:r>
        <w:rPr>
          <w:kern w:val="0"/>
        </w:rPr>
        <w:t>e it; (2) Apply appropriate conceptual tools to explain different aspects of the international political economy; (3) Demonstrate an understanding of China’s development in the recent decades within the international context; (4) Show an understanding of current global economic crisis with various theoretical perspectives.</w:t>
      </w:r>
    </w:p>
    <w:p>
      <w:pPr/>
    </w:p>
    <w:p>
      <w:pPr>
        <w:rPr>
          <w:b/>
          <w:bCs/>
        </w:rPr>
      </w:pPr>
      <w:r>
        <w:rPr>
          <w:rFonts w:hint="eastAsia"/>
          <w:b/>
          <w:bCs/>
        </w:rPr>
        <w:t xml:space="preserve">Public Ethics and </w:t>
      </w:r>
      <w:r>
        <w:rPr>
          <w:b/>
          <w:bCs/>
        </w:rPr>
        <w:t xml:space="preserve">Leadership </w:t>
      </w:r>
    </w:p>
    <w:p>
      <w:pPr/>
      <w:r>
        <w:t>This course is about leadership in organizations, especially in public organizations. It provides a detailed explanation and critical evaluation of major theories, a comprehensive review and evaluation of empirical research. Cases, guest speech, group projects and discussions are designed to help the student gain a better understanding of the basic concepts and effective guidelines. The course will discuss the perspectives on effective leadership behavior, traits and skills in managerial leadership, leadership in changing situations. Special topics such as ethical leadership, gender and leadership, cross-cultural leadership will be introduced through class discussions and projects.</w:t>
      </w:r>
    </w:p>
    <w:p>
      <w:pPr/>
    </w:p>
    <w:p>
      <w:pPr>
        <w:rPr>
          <w:b/>
          <w:bCs/>
        </w:rPr>
      </w:pPr>
      <w:r>
        <w:rPr>
          <w:b/>
          <w:bCs/>
        </w:rPr>
        <w:t>Globalization and Governance</w:t>
      </w:r>
    </w:p>
    <w:p>
      <w:pPr>
        <w:widowControl/>
        <w:rPr>
          <w:kern w:val="0"/>
        </w:rPr>
      </w:pPr>
      <w:r>
        <w:rPr>
          <w:kern w:val="0"/>
        </w:rPr>
        <w:t>The course introduces students to the key dimensions of globalization relevant for public policy analysis and decision-making. It reviews the theoretical controversies developed by the</w:t>
      </w:r>
      <w:r>
        <w:rPr>
          <w:rFonts w:hint="eastAsia"/>
          <w:kern w:val="0"/>
        </w:rPr>
        <w:t xml:space="preserve"> </w:t>
      </w:r>
      <w:r>
        <w:rPr>
          <w:kern w:val="0"/>
        </w:rPr>
        <w:t>academic literature on each topic, presents the relevant data available from policy think tanks and international institutions to draw a global picture, and discusses policy case-studies borrowed from a wide comparative and international background. The course aims at offering a plurality of perspectives on the context of contemporary public policy, and to develop the knowledge of practical policy making at the international, national or local levels.</w:t>
      </w:r>
    </w:p>
    <w:p>
      <w:pPr/>
    </w:p>
    <w:p>
      <w:pPr>
        <w:rPr>
          <w:b/>
          <w:bCs/>
        </w:rPr>
      </w:pPr>
      <w:r>
        <w:rPr>
          <w:b/>
          <w:bCs/>
        </w:rPr>
        <w:t xml:space="preserve">Comparative Development </w:t>
      </w:r>
    </w:p>
    <w:p>
      <w:pPr>
        <w:widowControl/>
        <w:rPr>
          <w:kern w:val="0"/>
        </w:rPr>
      </w:pPr>
      <w:r>
        <w:rPr>
          <w:kern w:val="0"/>
        </w:rPr>
        <w:t>The course will present a survey of ‘stylised accounts’ of developmental models noted for their particularity, and their status as benchmarks of success and failure. In addition, the course will address questions regarding the prerequisites of different development models, how far developmental experiences can be replicated and problems of transferability. The course will touch upon the cost to the past, and to the future, and consider more fully, a range of issues which might include such topics as political order as both a public good and as ideology, economic growth and gender discrimination, the market and civil society, and the nature and limitations of the Washington Consensus. Furthermore, students will choose, in consultation with the course instructor and no later than week 8 on completion of the survey of country models of development, a single model to explore in relation to their own country of origin.</w:t>
      </w:r>
    </w:p>
    <w:p>
      <w:pPr/>
    </w:p>
    <w:p>
      <w:pPr>
        <w:rPr>
          <w:b/>
          <w:bCs/>
        </w:rPr>
      </w:pPr>
      <w:r>
        <w:rPr>
          <w:b/>
          <w:bCs/>
        </w:rPr>
        <w:t xml:space="preserve">Politics and Government in China </w:t>
      </w:r>
    </w:p>
    <w:p>
      <w:pPr/>
      <w:r>
        <w:t>This course is designed to introduce to students who have limited knowledge of China some basic aspects of political institutions and processes as well as major events in Chinese political life under the communists since 1949, focusing on the post-Mao reform period since 1978. It examines economic and political development in China--their causes, patterns, consequences, and implications--in a broader context of globalization and modernization.</w:t>
      </w:r>
    </w:p>
    <w:p>
      <w:pPr/>
    </w:p>
    <w:p>
      <w:pPr>
        <w:rPr>
          <w:b/>
          <w:bCs/>
        </w:rPr>
      </w:pPr>
      <w:r>
        <w:rPr>
          <w:b/>
          <w:bCs/>
        </w:rPr>
        <w:t>Economic Development and Policy in China</w:t>
      </w:r>
    </w:p>
    <w:p>
      <w:pPr>
        <w:widowControl/>
        <w:rPr>
          <w:kern w:val="0"/>
        </w:rPr>
      </w:pPr>
      <w:r>
        <w:rPr>
          <w:kern w:val="0"/>
        </w:rPr>
        <w:t>China Economic Development focuses on the hot topics on China's transition and development including economic growth, industrial policies, environment, employment, government finance, public service and so on. It is designed for master-level students in public policy and economics. The course is based on the theory of development economics and providing the basic analysis framework for China studies. There will be both historical and contemporary perspective for teaching and give overall picture of China's development record. Both quantitative and qualitative analysis will be applied in the course to enhance the students' capacity on conceptive and empirical research. Besides lectures, the course will also get students involved in the discussions and researches. The evaluation method is multi-dimensional to examine students' knowledge and analytical capacity through research essays, group presentations and discussions, as well as course involvement.</w:t>
      </w:r>
    </w:p>
    <w:p>
      <w:pPr/>
    </w:p>
    <w:p>
      <w:pPr>
        <w:rPr>
          <w:b/>
          <w:bCs/>
        </w:rPr>
      </w:pPr>
      <w:r>
        <w:rPr>
          <w:b/>
          <w:bCs/>
        </w:rPr>
        <w:t xml:space="preserve">China’s Social Policy </w:t>
      </w:r>
    </w:p>
    <w:p>
      <w:pPr/>
      <w:r>
        <w:t>The content of the course is composed of four sections. The first section is an introduction to social policy as a field of study and setting up a framework for understanding. The second section covers major domains of social policy in China. The third section is devoted to a discussion of policy development processes at different levels of the government and resource allocation for policy implementation. The fourth section concludes the course with attempts to analyze some welfare programs as examples of policy analysis.</w:t>
      </w:r>
    </w:p>
    <w:p>
      <w:pPr/>
    </w:p>
    <w:p>
      <w:pPr>
        <w:rPr>
          <w:b/>
          <w:bCs/>
        </w:rPr>
      </w:pPr>
      <w:r>
        <w:rPr>
          <w:b/>
          <w:bCs/>
        </w:rPr>
        <w:t xml:space="preserve">China's </w:t>
      </w:r>
      <w:r>
        <w:rPr>
          <w:rFonts w:hint="eastAsia"/>
          <w:b/>
          <w:bCs/>
        </w:rPr>
        <w:t>F</w:t>
      </w:r>
      <w:r>
        <w:rPr>
          <w:b/>
          <w:bCs/>
        </w:rPr>
        <w:t xml:space="preserve">oreign </w:t>
      </w:r>
      <w:r>
        <w:rPr>
          <w:rFonts w:hint="eastAsia"/>
          <w:b/>
          <w:bCs/>
        </w:rPr>
        <w:t>S</w:t>
      </w:r>
      <w:r>
        <w:rPr>
          <w:b/>
          <w:bCs/>
        </w:rPr>
        <w:t xml:space="preserve">trategy and Policy </w:t>
      </w:r>
    </w:p>
    <w:p>
      <w:pPr>
        <w:widowControl/>
        <w:rPr>
          <w:kern w:val="0"/>
        </w:rPr>
      </w:pPr>
      <w:r>
        <w:rPr>
          <w:kern w:val="0"/>
        </w:rPr>
        <w:t xml:space="preserve">The course is composed of three sections: 1. Introduce and discuss the theory, ideology, world view, culture, history, tradition, etc of China's foreign policy, especially the theory and policy implicated during the Mao Zedong, Deng Xiaoping and Jiang Zeming era; 2. Introduce and discuss the foreign strategy and strategic objectives in current China; 3. Introduce and discuss China’s foreign policy on different countries and areas, including China’s policy towards the U.S., Russia, Japan, Asia, Middle east, Africa, Latin America, Europe; </w:t>
      </w:r>
      <w:r>
        <w:rPr>
          <w:bCs/>
          <w:kern w:val="0"/>
        </w:rPr>
        <w:t>multilateral</w:t>
      </w:r>
      <w:r>
        <w:rPr>
          <w:kern w:val="0"/>
        </w:rPr>
        <w:t xml:space="preserve"> diplomacy of China; China’s policy and position on great international issues (anti-terrorism, nonproliferation, safety, environment, human rights, etc.)</w:t>
      </w:r>
    </w:p>
    <w:p>
      <w:pPr>
        <w:widowControl/>
        <w:rPr>
          <w:kern w:val="0"/>
        </w:rPr>
      </w:pPr>
    </w:p>
    <w:p>
      <w:pPr>
        <w:rPr>
          <w:b/>
          <w:bCs/>
        </w:rPr>
      </w:pPr>
      <w:r>
        <w:rPr>
          <w:b/>
          <w:bCs/>
        </w:rPr>
        <w:t>Chinese Constitutional and Administrative Law</w:t>
      </w:r>
    </w:p>
    <w:p>
      <w:pPr>
        <w:widowControl/>
        <w:rPr>
          <w:kern w:val="0"/>
        </w:rPr>
      </w:pPr>
      <w:r>
        <w:rPr>
          <w:kern w:val="0"/>
        </w:rPr>
        <w:t>Chinese Constitutional and Administrative Law This course introduces the jurisprudential framework of Chinese constitutional law and administrative law which provide primary legal foundation for Chinese government. The constitutional law, as the first part of this course, involves the following topics:(1) General principle of Chinese constitutional law ;(2) the fundamental institution of the state and basic principles of economy and society; (3)the system and structure of central and local government, which are based on the doctrines of democratic centralism and the unitary state;(4)human rights, citizen’s basic rights and obligations. The key theme of this part is relationship between the state and citizens in terms of constitutionalism. The administrative law is the larger part of this course. It studies a number of subjects on the executive body’s establishments and functions. The topics will be divided into four groups: (1)General principle of Chinese administrative law;(2)the organization of the executive body : formation and legal competence, the range of its functions, and the system of civil servant;(3)the act of the executive body: form and process to make decision with legal effect, means to implement decision;(4) supervision over the executive body and legal remedies to the aggrieved individuals, focusing on the administrative review ,the judicial review and the state liability. The Chinese model of administrative law, namely the development-orientated administrative law will be explored in-depth, based on the fact that the development dominates operation of Chinese government at all levels and on full scale.</w:t>
      </w:r>
    </w:p>
    <w:p>
      <w:pPr/>
    </w:p>
    <w:p>
      <w:pPr>
        <w:pStyle w:val="10"/>
        <w:adjustRightInd w:val="0"/>
        <w:snapToGrid w:val="0"/>
        <w:spacing w:line="300" w:lineRule="auto"/>
        <w:rPr>
          <w:rFonts w:ascii="Times New Roman" w:hAnsi="Times New Roman"/>
          <w:b/>
          <w:bCs/>
          <w:sz w:val="30"/>
          <w:szCs w:val="30"/>
        </w:rPr>
      </w:pPr>
      <w:r>
        <w:rPr>
          <w:rFonts w:ascii="Times New Roman" w:hAnsi="Times New Roman"/>
          <w:b/>
          <w:bCs/>
          <w:sz w:val="30"/>
          <w:szCs w:val="30"/>
        </w:rPr>
        <w:t>Practical Training</w:t>
      </w:r>
    </w:p>
    <w:p>
      <w:pPr>
        <w:rPr>
          <w:b/>
          <w:bCs/>
        </w:rPr>
      </w:pPr>
      <w:r>
        <w:rPr>
          <w:b/>
          <w:bCs/>
        </w:rPr>
        <w:t>Field Study</w:t>
      </w:r>
    </w:p>
    <w:p>
      <w:pPr/>
      <w:r>
        <w:t xml:space="preserve">These </w:t>
      </w:r>
      <w:r>
        <w:rPr>
          <w:rFonts w:hint="eastAsia"/>
        </w:rPr>
        <w:t xml:space="preserve">field </w:t>
      </w:r>
      <w:r>
        <w:t>trips will provide students with real-world experience of China’s development from different perspectives, and will help students to form their own understanding of China’s development. Students can also test the knowledge and skills they have learned in previous courses, then prepare and consolidate their dissertation.</w:t>
      </w:r>
    </w:p>
    <w:p>
      <w:pPr>
        <w:pStyle w:val="10"/>
        <w:adjustRightInd w:val="0"/>
        <w:snapToGrid w:val="0"/>
        <w:spacing w:line="300" w:lineRule="auto"/>
        <w:rPr>
          <w:rFonts w:ascii="Times New Roman" w:hAnsi="Times New Roman"/>
          <w:b/>
          <w:bCs/>
          <w:sz w:val="30"/>
          <w:szCs w:val="30"/>
        </w:rPr>
      </w:pPr>
    </w:p>
    <w:p>
      <w:pPr>
        <w:pStyle w:val="10"/>
        <w:adjustRightInd w:val="0"/>
        <w:snapToGrid w:val="0"/>
        <w:spacing w:line="300" w:lineRule="auto"/>
        <w:rPr>
          <w:rFonts w:ascii="Times New Roman" w:hAnsi="Times New Roman"/>
          <w:b/>
          <w:bCs/>
          <w:sz w:val="28"/>
          <w:szCs w:val="28"/>
        </w:rPr>
      </w:pPr>
      <w:r>
        <w:rPr>
          <w:rFonts w:ascii="Times New Roman" w:hAnsi="Times New Roman"/>
          <w:b/>
          <w:bCs/>
          <w:sz w:val="28"/>
          <w:szCs w:val="28"/>
        </w:rPr>
        <w:t>IV - Faculty (Course Professors</w:t>
      </w:r>
      <w:r>
        <w:rPr>
          <w:rFonts w:hint="eastAsia" w:ascii="Times New Roman" w:hAnsi="Times New Roman"/>
          <w:b/>
          <w:bCs/>
          <w:sz w:val="28"/>
          <w:szCs w:val="28"/>
        </w:rPr>
        <w:t>-partially</w:t>
      </w:r>
      <w:r>
        <w:rPr>
          <w:rFonts w:ascii="Times New Roman" w:hAnsi="Times New Roman"/>
          <w:b/>
          <w:bCs/>
          <w:sz w:val="28"/>
          <w:szCs w:val="28"/>
        </w:rPr>
        <w:t>)</w:t>
      </w:r>
    </w:p>
    <w:p>
      <w:pPr>
        <w:pStyle w:val="10"/>
        <w:adjustRightInd w:val="0"/>
        <w:snapToGrid w:val="0"/>
        <w:spacing w:line="300" w:lineRule="auto"/>
        <w:rPr>
          <w:rFonts w:ascii="Times New Roman" w:hAnsi="Times New Roman"/>
          <w:b/>
          <w:bCs/>
          <w:sz w:val="28"/>
          <w:szCs w:val="28"/>
        </w:rPr>
      </w:pPr>
    </w:p>
    <w:p>
      <w:pPr>
        <w:rPr>
          <w:b/>
          <w:bCs/>
        </w:rPr>
      </w:pPr>
      <w:bookmarkStart w:id="4" w:name="OLE_LINK3"/>
      <w:r>
        <w:rPr>
          <w:b/>
          <w:bCs/>
        </w:rPr>
        <w:t>CAO Feng: Assistant Professor</w:t>
      </w:r>
    </w:p>
    <w:p>
      <w:pPr/>
      <w:r>
        <w:t>Areas of Research: Public Organization and Management, Social Conflict Management, Social Security Policy, and Development Policy.</w:t>
      </w:r>
    </w:p>
    <w:p>
      <w:pPr/>
      <w:r>
        <w:t>Email: caof@tsinghua.edu.cn</w:t>
      </w:r>
    </w:p>
    <w:p>
      <w:pPr/>
    </w:p>
    <w:p>
      <w:pPr>
        <w:rPr>
          <w:b/>
          <w:bCs/>
        </w:rPr>
      </w:pPr>
      <w:r>
        <w:rPr>
          <w:b/>
          <w:bCs/>
        </w:rPr>
        <w:t>CHU Shulong: Professor</w:t>
      </w:r>
    </w:p>
    <w:p>
      <w:pPr/>
      <w:r>
        <w:t>Ph.D., George Washington University</w:t>
      </w:r>
    </w:p>
    <w:p>
      <w:pPr/>
      <w:r>
        <w:t>Areas of Research: Political science and international affairs, including political theories; international relations; American government and politics; Chinese foreign strategy and policy.</w:t>
      </w:r>
    </w:p>
    <w:p>
      <w:pPr>
        <w:rPr>
          <w:lang w:val="fr-FR"/>
        </w:rPr>
      </w:pPr>
      <w:r>
        <w:rPr>
          <w:lang w:val="fr-FR"/>
        </w:rPr>
        <w:t>Email: chushl@tsinghua.edu.cn</w:t>
      </w:r>
    </w:p>
    <w:bookmarkEnd w:id="4"/>
    <w:p>
      <w:pPr>
        <w:rPr>
          <w:b/>
          <w:bCs/>
          <w:lang w:val="fr-FR"/>
        </w:rPr>
      </w:pPr>
    </w:p>
    <w:p>
      <w:pPr>
        <w:rPr>
          <w:b/>
          <w:bCs/>
          <w:lang w:val="fr-FR"/>
        </w:rPr>
      </w:pPr>
      <w:r>
        <w:rPr>
          <w:b/>
          <w:bCs/>
          <w:lang w:val="fr-FR"/>
        </w:rPr>
        <w:t>DAI Yixin: Assistant Professor</w:t>
      </w:r>
    </w:p>
    <w:p>
      <w:pPr/>
      <w:r>
        <w:t>Ph.D., Syracuse University</w:t>
      </w:r>
    </w:p>
    <w:p>
      <w:pPr/>
      <w:r>
        <w:t>Areas of Research: Science and Technology Policy, Environmental Policy.</w:t>
      </w:r>
    </w:p>
    <w:p>
      <w:pPr>
        <w:rPr>
          <w:lang w:val="de-DE"/>
        </w:rPr>
      </w:pPr>
      <w:r>
        <w:rPr>
          <w:lang w:val="de-DE"/>
        </w:rPr>
        <w:t xml:space="preserve">Email: yixindai@tsinghua.edu.cn </w:t>
      </w:r>
    </w:p>
    <w:p>
      <w:pPr>
        <w:rPr>
          <w:lang w:val="de-DE"/>
        </w:rPr>
      </w:pPr>
    </w:p>
    <w:p>
      <w:pPr>
        <w:rPr>
          <w:b/>
          <w:bCs/>
          <w:lang w:val="de-DE"/>
        </w:rPr>
      </w:pPr>
      <w:r>
        <w:rPr>
          <w:b/>
          <w:bCs/>
          <w:lang w:val="de-DE"/>
        </w:rPr>
        <w:t>HU Angang: Professor</w:t>
      </w:r>
    </w:p>
    <w:p>
      <w:pPr/>
      <w:r>
        <w:t>Ph.D., Chinese Academy of Sciences</w:t>
      </w:r>
    </w:p>
    <w:p>
      <w:pPr/>
      <w:r>
        <w:t>Areas of Research: China studies; public policy.</w:t>
      </w:r>
    </w:p>
    <w:p>
      <w:pPr/>
      <w:r>
        <w:t xml:space="preserve">Email: </w:t>
      </w:r>
      <w:r>
        <w:fldChar w:fldCharType="begin"/>
      </w:r>
      <w:r>
        <w:instrText xml:space="preserve"> HYPERLINK "mailto:huangang@sohu.net" </w:instrText>
      </w:r>
      <w:r>
        <w:fldChar w:fldCharType="separate"/>
      </w:r>
      <w:r>
        <w:t>huangang@sohu.net</w:t>
      </w:r>
      <w:r>
        <w:fldChar w:fldCharType="end"/>
      </w:r>
    </w:p>
    <w:p>
      <w:pPr>
        <w:rPr>
          <w:b/>
          <w:bCs/>
        </w:rPr>
      </w:pPr>
    </w:p>
    <w:p>
      <w:pPr>
        <w:rPr>
          <w:b/>
          <w:bCs/>
        </w:rPr>
      </w:pPr>
      <w:r>
        <w:rPr>
          <w:b/>
          <w:bCs/>
        </w:rPr>
        <w:t>LIU Zhilin: Associate Professor</w:t>
      </w:r>
    </w:p>
    <w:p>
      <w:pPr/>
      <w:r>
        <w:t>Ph.D., Cornell University</w:t>
      </w:r>
    </w:p>
    <w:p>
      <w:pPr/>
      <w:r>
        <w:t>Area of research: Urban Policy and Governance, Housing Policy, Urban Social Geography, Sustainable Development, New Institutionalism Theory.</w:t>
      </w:r>
    </w:p>
    <w:p>
      <w:pPr>
        <w:rPr>
          <w:lang w:val="fr-FR"/>
        </w:rPr>
      </w:pPr>
      <w:r>
        <w:rPr>
          <w:lang w:val="fr-FR"/>
        </w:rPr>
        <w:t xml:space="preserve">Email: </w:t>
      </w:r>
      <w:r>
        <w:fldChar w:fldCharType="begin"/>
      </w:r>
      <w:r>
        <w:instrText xml:space="preserve"> HYPERLINK "mailto:zhilinliu@tsinghua.edu.cn" </w:instrText>
      </w:r>
      <w:r>
        <w:fldChar w:fldCharType="separate"/>
      </w:r>
      <w:r>
        <w:rPr>
          <w:lang w:val="fr-FR"/>
        </w:rPr>
        <w:t>zhilinliu@tsinghua.edu.cn</w:t>
      </w:r>
      <w:r>
        <w:rPr>
          <w:lang w:val="fr-FR"/>
        </w:rPr>
        <w:fldChar w:fldCharType="end"/>
      </w:r>
    </w:p>
    <w:p>
      <w:pPr>
        <w:rPr>
          <w:lang w:val="fr-FR"/>
        </w:rPr>
      </w:pPr>
    </w:p>
    <w:p>
      <w:pPr>
        <w:rPr>
          <w:b/>
          <w:bCs/>
          <w:lang w:val="fr-FR"/>
        </w:rPr>
      </w:pPr>
      <w:r>
        <w:rPr>
          <w:b/>
          <w:bCs/>
          <w:lang w:val="fr-FR"/>
        </w:rPr>
        <w:t>MEI Ciqi: Associate Professor</w:t>
      </w:r>
    </w:p>
    <w:p>
      <w:pPr/>
      <w:r>
        <w:t>Ph.D., University of Maryland, College Park, USA</w:t>
      </w:r>
    </w:p>
    <w:p>
      <w:pPr/>
      <w:r>
        <w:t>Areas of Research: Comparative politics; China politics &amp; government; bureaucratic politics.</w:t>
      </w:r>
    </w:p>
    <w:p>
      <w:pPr/>
      <w:r>
        <w:t>Email: cmei@tsinghua.edu.cn</w:t>
      </w:r>
    </w:p>
    <w:p>
      <w:pPr>
        <w:rPr>
          <w:b/>
          <w:bCs/>
        </w:rPr>
      </w:pPr>
    </w:p>
    <w:p>
      <w:pPr>
        <w:rPr>
          <w:b/>
          <w:bCs/>
        </w:rPr>
      </w:pPr>
      <w:r>
        <w:rPr>
          <w:b/>
          <w:bCs/>
        </w:rPr>
        <w:t>MENG Bo: Assistant Professor</w:t>
      </w:r>
    </w:p>
    <w:p>
      <w:pPr/>
      <w:r>
        <w:t>MPA, Seattle University</w:t>
      </w:r>
    </w:p>
    <w:p>
      <w:pPr/>
      <w:r>
        <w:t>Areas of Research: Public administration; human resource management, managerial communication.</w:t>
      </w:r>
    </w:p>
    <w:p>
      <w:pPr/>
      <w:r>
        <w:t xml:space="preserve">Email: </w:t>
      </w:r>
      <w:r>
        <w:fldChar w:fldCharType="begin"/>
      </w:r>
      <w:r>
        <w:instrText xml:space="preserve"> HYPERLINK "mailto:bomeng@tsinghua.edu.cn" </w:instrText>
      </w:r>
      <w:r>
        <w:fldChar w:fldCharType="separate"/>
      </w:r>
      <w:r>
        <w:rPr>
          <w:rStyle w:val="19"/>
        </w:rPr>
        <w:t>bomeng@tsinghua.edu.cn</w:t>
      </w:r>
      <w:r>
        <w:rPr>
          <w:rStyle w:val="19"/>
        </w:rPr>
        <w:fldChar w:fldCharType="end"/>
      </w:r>
    </w:p>
    <w:p>
      <w:pPr>
        <w:rPr>
          <w:b/>
          <w:bCs/>
        </w:rPr>
      </w:pPr>
    </w:p>
    <w:p>
      <w:pPr>
        <w:rPr>
          <w:b/>
          <w:bCs/>
        </w:rPr>
      </w:pPr>
      <w:r>
        <w:rPr>
          <w:b/>
          <w:bCs/>
        </w:rPr>
        <w:t>WANG Qingxin: Professor</w:t>
      </w:r>
    </w:p>
    <w:p>
      <w:pPr/>
      <w:r>
        <w:t>Ph.D., State University of New York at Buffalo</w:t>
      </w:r>
    </w:p>
    <w:p>
      <w:pPr/>
      <w:r>
        <w:t>Areas of Research Interests: East Asian international relations, international relations theory, East Asian politics, and Confucian political thought.</w:t>
      </w:r>
    </w:p>
    <w:p>
      <w:pPr>
        <w:rPr>
          <w:lang w:val="fr-FR"/>
        </w:rPr>
      </w:pPr>
      <w:r>
        <w:rPr>
          <w:lang w:val="fr-FR"/>
        </w:rPr>
        <w:t xml:space="preserve">Email: </w:t>
      </w:r>
      <w:r>
        <w:fldChar w:fldCharType="begin"/>
      </w:r>
      <w:r>
        <w:instrText xml:space="preserve"> HYPERLINK "mailto:wangqingxin@tsinghua.edu.cn" </w:instrText>
      </w:r>
      <w:r>
        <w:fldChar w:fldCharType="separate"/>
      </w:r>
      <w:r>
        <w:rPr>
          <w:lang w:val="fr-FR"/>
        </w:rPr>
        <w:t>wangqingxin@tsinghua.edu.cn</w:t>
      </w:r>
      <w:r>
        <w:rPr>
          <w:lang w:val="fr-FR"/>
        </w:rPr>
        <w:fldChar w:fldCharType="end"/>
      </w:r>
    </w:p>
    <w:p>
      <w:pPr>
        <w:rPr>
          <w:b/>
          <w:bCs/>
          <w:lang w:val="fr-FR"/>
        </w:rPr>
      </w:pPr>
    </w:p>
    <w:p>
      <w:pPr>
        <w:rPr>
          <w:b/>
          <w:bCs/>
          <w:lang w:val="fr-FR"/>
        </w:rPr>
      </w:pPr>
      <w:r>
        <w:rPr>
          <w:b/>
          <w:bCs/>
          <w:lang w:val="fr-FR"/>
        </w:rPr>
        <w:t>YIN Chengzhi: Associate Professor</w:t>
      </w:r>
    </w:p>
    <w:p>
      <w:pPr/>
      <w:r>
        <w:t>Ph. D., Peking University</w:t>
      </w:r>
    </w:p>
    <w:p>
      <w:pPr/>
      <w:r>
        <w:t>Area of Research: Urban Planning</w:t>
      </w:r>
    </w:p>
    <w:p>
      <w:pPr/>
      <w:r>
        <w:t>Email: yincz@tsinghua.edu.cn</w:t>
      </w:r>
    </w:p>
    <w:p>
      <w:pPr>
        <w:rPr>
          <w:b/>
          <w:bCs/>
        </w:rPr>
      </w:pPr>
    </w:p>
    <w:p>
      <w:pPr>
        <w:rPr>
          <w:b/>
          <w:bCs/>
        </w:rPr>
      </w:pPr>
      <w:r>
        <w:rPr>
          <w:b/>
          <w:bCs/>
        </w:rPr>
        <w:t>YU An: Professor</w:t>
      </w:r>
    </w:p>
    <w:p>
      <w:pPr/>
      <w:r>
        <w:t>Ph.D., Peking University</w:t>
      </w:r>
    </w:p>
    <w:p>
      <w:pPr/>
      <w:r>
        <w:t>Area of Research: Administrative law; WTO legal issues; and government procurement.</w:t>
      </w:r>
    </w:p>
    <w:p>
      <w:pPr>
        <w:rPr>
          <w:b/>
          <w:bCs/>
        </w:rPr>
      </w:pPr>
    </w:p>
    <w:p>
      <w:pPr>
        <w:rPr>
          <w:b/>
          <w:bCs/>
        </w:rPr>
      </w:pPr>
      <w:r>
        <w:rPr>
          <w:b/>
          <w:bCs/>
        </w:rPr>
        <w:t>YU Qiao: Professor</w:t>
      </w:r>
    </w:p>
    <w:p>
      <w:pPr/>
      <w:r>
        <w:t>Ph.D., Michigan State University</w:t>
      </w:r>
    </w:p>
    <w:p>
      <w:pPr/>
      <w:r>
        <w:t>Areas of Research: Public management; economics; public finance</w:t>
      </w:r>
    </w:p>
    <w:p>
      <w:pPr/>
      <w:r>
        <w:t xml:space="preserve">Email: </w:t>
      </w:r>
      <w:r>
        <w:fldChar w:fldCharType="begin"/>
      </w:r>
      <w:r>
        <w:instrText xml:space="preserve"> HYPERLINK "mailto:qiaoyu@tsinghua.edu.cn" </w:instrText>
      </w:r>
      <w:r>
        <w:fldChar w:fldCharType="separate"/>
      </w:r>
      <w:r>
        <w:t>qiaoyu@tsinghua.edu.cn</w:t>
      </w:r>
      <w:r>
        <w:fldChar w:fldCharType="end"/>
      </w:r>
    </w:p>
    <w:p>
      <w:pPr>
        <w:rPr>
          <w:b/>
          <w:bCs/>
        </w:rPr>
      </w:pPr>
    </w:p>
    <w:p>
      <w:pPr>
        <w:rPr>
          <w:b/>
          <w:bCs/>
        </w:rPr>
      </w:pPr>
      <w:r>
        <w:rPr>
          <w:b/>
          <w:bCs/>
        </w:rPr>
        <w:t>ZHANG Yanbing: Assistant Professor</w:t>
      </w:r>
    </w:p>
    <w:p>
      <w:pPr/>
      <w:r>
        <w:t>Ph.D., University of Sheffield, United Kingdom</w:t>
      </w:r>
    </w:p>
    <w:p>
      <w:pPr/>
      <w:r>
        <w:t>Areas of Research: politics; plutonomy</w:t>
      </w:r>
    </w:p>
    <w:p>
      <w:pPr>
        <w:rPr>
          <w:lang w:val="de-DE"/>
        </w:rPr>
      </w:pPr>
      <w:r>
        <w:rPr>
          <w:lang w:val="de-DE"/>
        </w:rPr>
        <w:t xml:space="preserve">E-mail: </w:t>
      </w:r>
      <w:r>
        <w:fldChar w:fldCharType="begin"/>
      </w:r>
      <w:r>
        <w:instrText xml:space="preserve"> HYPERLINK "mailto:zhangyanbing@tsinghua.edu.cn" </w:instrText>
      </w:r>
      <w:r>
        <w:fldChar w:fldCharType="separate"/>
      </w:r>
      <w:r>
        <w:rPr>
          <w:rStyle w:val="19"/>
          <w:lang w:val="de-DE"/>
        </w:rPr>
        <w:t>zhangyanbing@tsinghua.edu.cn</w:t>
      </w:r>
      <w:r>
        <w:rPr>
          <w:rStyle w:val="19"/>
          <w:lang w:val="de-DE"/>
        </w:rPr>
        <w:fldChar w:fldCharType="end"/>
      </w:r>
    </w:p>
    <w:p>
      <w:pPr>
        <w:pStyle w:val="10"/>
        <w:adjustRightInd w:val="0"/>
        <w:snapToGrid w:val="0"/>
        <w:spacing w:line="300" w:lineRule="auto"/>
        <w:rPr>
          <w:rFonts w:ascii="Times New Roman" w:hAnsi="Times New Roman"/>
          <w:b/>
          <w:bCs/>
          <w:sz w:val="28"/>
          <w:szCs w:val="28"/>
        </w:rPr>
      </w:pPr>
    </w:p>
    <w:p>
      <w:pPr>
        <w:pStyle w:val="10"/>
        <w:adjustRightInd w:val="0"/>
        <w:snapToGrid w:val="0"/>
        <w:spacing w:line="300" w:lineRule="auto"/>
        <w:rPr>
          <w:rFonts w:ascii="Times New Roman" w:hAnsi="Times New Roman"/>
          <w:b/>
          <w:bCs/>
          <w:sz w:val="28"/>
          <w:szCs w:val="28"/>
        </w:rPr>
      </w:pPr>
      <w:r>
        <w:rPr>
          <w:rFonts w:ascii="Times New Roman" w:hAnsi="Times New Roman"/>
          <w:b/>
          <w:bCs/>
          <w:sz w:val="28"/>
          <w:szCs w:val="28"/>
        </w:rPr>
        <w:t>V. Admission Information</w:t>
      </w:r>
    </w:p>
    <w:p>
      <w:pPr>
        <w:pStyle w:val="10"/>
        <w:adjustRightInd w:val="0"/>
        <w:snapToGrid w:val="0"/>
        <w:spacing w:line="300" w:lineRule="auto"/>
        <w:rPr>
          <w:rFonts w:ascii="Times New Roman" w:hAnsi="Times New Roman"/>
          <w:b/>
          <w:bCs/>
          <w:sz w:val="28"/>
          <w:szCs w:val="28"/>
        </w:rPr>
      </w:pPr>
    </w:p>
    <w:p>
      <w:pPr>
        <w:pStyle w:val="10"/>
        <w:adjustRightInd w:val="0"/>
        <w:snapToGrid w:val="0"/>
        <w:spacing w:line="300" w:lineRule="auto"/>
        <w:rPr>
          <w:rFonts w:ascii="Times New Roman" w:hAnsi="Times New Roman"/>
          <w:b/>
          <w:bCs/>
          <w:sz w:val="28"/>
          <w:szCs w:val="28"/>
        </w:rPr>
      </w:pPr>
      <w:r>
        <w:rPr>
          <w:rFonts w:ascii="Times New Roman" w:hAnsi="Times New Roman"/>
          <w:b/>
          <w:bCs/>
          <w:sz w:val="28"/>
          <w:szCs w:val="28"/>
        </w:rPr>
        <w:t>Qualification of Applicants:</w:t>
      </w:r>
    </w:p>
    <w:p>
      <w:pPr>
        <w:widowControl/>
        <w:jc w:val="left"/>
      </w:pPr>
      <w:r>
        <w:t xml:space="preserve">1. </w:t>
      </w:r>
      <w:r>
        <w:rPr>
          <w:rFonts w:hint="eastAsia"/>
        </w:rPr>
        <w:t>Academic or professional background in the fields of government, NGO, Educational institution, Media, Business etc., and dedicated to work in public sectors.</w:t>
      </w:r>
    </w:p>
    <w:p>
      <w:pPr>
        <w:widowControl/>
        <w:jc w:val="left"/>
      </w:pPr>
      <w:r>
        <w:rPr>
          <w:rFonts w:hint="eastAsia"/>
        </w:rPr>
        <w:t>2. U</w:t>
      </w:r>
      <w:r>
        <w:t xml:space="preserve">nder the age of </w:t>
      </w:r>
      <w:r>
        <w:rPr>
          <w:rFonts w:hint="eastAsia"/>
        </w:rPr>
        <w:t>3</w:t>
      </w:r>
      <w:r>
        <w:t>5</w:t>
      </w:r>
      <w:r>
        <w:rPr>
          <w:rFonts w:hint="eastAsia"/>
        </w:rPr>
        <w:t xml:space="preserve">, and with 3-5 years work </w:t>
      </w:r>
      <w:r>
        <w:t>experience</w:t>
      </w:r>
    </w:p>
    <w:p>
      <w:pPr>
        <w:pStyle w:val="10"/>
        <w:spacing w:line="300" w:lineRule="auto"/>
        <w:jc w:val="left"/>
        <w:rPr>
          <w:rFonts w:ascii="Times New Roman" w:hAnsi="Times New Roman"/>
          <w:kern w:val="2"/>
        </w:rPr>
      </w:pPr>
      <w:r>
        <w:rPr>
          <w:rFonts w:hint="eastAsia" w:ascii="Times New Roman" w:hAnsi="Times New Roman"/>
          <w:kern w:val="2"/>
        </w:rPr>
        <w:t>3. Bachelor</w:t>
      </w:r>
      <w:r>
        <w:rPr>
          <w:rFonts w:ascii="Times New Roman" w:hAnsi="Times New Roman"/>
          <w:kern w:val="2"/>
        </w:rPr>
        <w:t>’</w:t>
      </w:r>
      <w:r>
        <w:rPr>
          <w:rFonts w:hint="eastAsia" w:ascii="Times New Roman" w:hAnsi="Times New Roman"/>
          <w:kern w:val="2"/>
        </w:rPr>
        <w:t>s degree</w:t>
      </w:r>
    </w:p>
    <w:p>
      <w:pPr>
        <w:pStyle w:val="10"/>
        <w:spacing w:line="300" w:lineRule="auto"/>
        <w:jc w:val="left"/>
        <w:rPr>
          <w:rFonts w:ascii="Times New Roman" w:hAnsi="Times New Roman"/>
          <w:kern w:val="2"/>
        </w:rPr>
      </w:pPr>
      <w:r>
        <w:rPr>
          <w:rFonts w:hint="eastAsia" w:ascii="Times New Roman" w:hAnsi="Times New Roman"/>
          <w:kern w:val="2"/>
        </w:rPr>
        <w:t xml:space="preserve">4. Good academic background, strong analytic ability, and high English proficiency (for non-native English speakers: TOEFL 85/IELTS 6.5, or equivalent) </w:t>
      </w:r>
    </w:p>
    <w:p>
      <w:pPr>
        <w:rPr>
          <w:sz w:val="24"/>
        </w:rPr>
      </w:pPr>
    </w:p>
    <w:p>
      <w:pPr>
        <w:widowControl/>
        <w:jc w:val="left"/>
        <w:rPr>
          <w:color w:val="000000"/>
          <w:highlight w:val="yellow"/>
        </w:rPr>
      </w:pPr>
    </w:p>
    <w:p>
      <w:pPr>
        <w:pStyle w:val="10"/>
        <w:adjustRightInd w:val="0"/>
        <w:snapToGrid w:val="0"/>
        <w:spacing w:line="300" w:lineRule="auto"/>
        <w:rPr>
          <w:rFonts w:ascii="Times New Roman" w:hAnsi="Times New Roman"/>
          <w:b/>
          <w:bCs/>
          <w:sz w:val="30"/>
          <w:szCs w:val="30"/>
        </w:rPr>
      </w:pPr>
      <w:bookmarkStart w:id="5" w:name="OLE_LINK6"/>
      <w:bookmarkStart w:id="6" w:name="OLE_LINK7"/>
      <w:r>
        <w:rPr>
          <w:rFonts w:ascii="Times New Roman" w:hAnsi="Times New Roman"/>
          <w:b/>
          <w:bCs/>
          <w:sz w:val="30"/>
          <w:szCs w:val="30"/>
        </w:rPr>
        <w:t>Application Materials</w:t>
      </w:r>
    </w:p>
    <w:p>
      <w:pPr>
        <w:pStyle w:val="8"/>
        <w:numPr>
          <w:ilvl w:val="0"/>
          <w:numId w:val="18"/>
        </w:numPr>
        <w:tabs>
          <w:tab w:val="left" w:pos="360"/>
        </w:tabs>
      </w:pPr>
      <w:r>
        <w:rPr>
          <w:rFonts w:hint="eastAsia"/>
        </w:rPr>
        <w:t>Complete</w:t>
      </w:r>
      <w:r>
        <w:rPr>
          <w:color w:val="000000"/>
        </w:rPr>
        <w:t xml:space="preserve"> Foreigner's Application Form for Admission to Graduate Programs of Tsinghua University</w:t>
      </w:r>
      <w:r>
        <w:rPr>
          <w:rFonts w:hint="eastAsia"/>
          <w:color w:val="000000"/>
        </w:rPr>
        <w:t xml:space="preserve"> online</w:t>
      </w:r>
      <w:r>
        <w:rPr>
          <w:rFonts w:hint="eastAsia"/>
        </w:rPr>
        <w:t xml:space="preserve"> (</w:t>
      </w:r>
      <w:r>
        <w:fldChar w:fldCharType="begin"/>
      </w:r>
      <w:r>
        <w:instrText xml:space="preserve"> HYPERLINK "http://intlstudent.cic.tsinghua.edu.cn/app/" </w:instrText>
      </w:r>
      <w:r>
        <w:fldChar w:fldCharType="separate"/>
      </w:r>
      <w:r>
        <w:rPr>
          <w:rStyle w:val="19"/>
        </w:rPr>
        <w:t>http://intlstudent.cic.tsinghua.edu.cn/app/</w:t>
      </w:r>
      <w:r>
        <w:rPr>
          <w:rStyle w:val="19"/>
        </w:rPr>
        <w:fldChar w:fldCharType="end"/>
      </w:r>
      <w:r>
        <w:rPr>
          <w:rFonts w:hint="eastAsia"/>
        </w:rPr>
        <w:t xml:space="preserve">. When </w:t>
      </w:r>
      <w:r>
        <w:t>filling</w:t>
      </w:r>
      <w:r>
        <w:rPr>
          <w:rFonts w:hint="eastAsia"/>
        </w:rPr>
        <w:t xml:space="preserve"> the online application please choose </w:t>
      </w:r>
      <w:r>
        <w:rPr>
          <w:rFonts w:hint="eastAsia"/>
          <w:b/>
        </w:rPr>
        <w:t xml:space="preserve">Master of Public Administration in International Development program </w:t>
      </w:r>
      <w:r>
        <w:rPr>
          <w:rFonts w:hint="eastAsia"/>
        </w:rPr>
        <w:t xml:space="preserve">in the system, and specify the financial sponsor is </w:t>
      </w:r>
      <w:r>
        <w:rPr>
          <w:rFonts w:hint="eastAsia"/>
          <w:b/>
        </w:rPr>
        <w:t>Chinese Ministry of Commerce</w:t>
      </w:r>
      <w:r>
        <w:rPr>
          <w:rFonts w:hint="eastAsia"/>
        </w:rPr>
        <w:t xml:space="preserve">. Attach </w:t>
      </w:r>
      <w:r>
        <w:rPr>
          <w:color w:val="000000"/>
        </w:rPr>
        <w:t>2-inch recent photo, signed by the applicant. (See Application Procedure Step 2).</w:t>
      </w:r>
    </w:p>
    <w:p>
      <w:pPr>
        <w:widowControl/>
        <w:numPr>
          <w:ilvl w:val="0"/>
          <w:numId w:val="18"/>
        </w:numPr>
        <w:tabs>
          <w:tab w:val="left" w:pos="360"/>
          <w:tab w:val="left" w:pos="840"/>
        </w:tabs>
        <w:ind w:left="283" w:hanging="283" w:hangingChars="135"/>
        <w:jc w:val="left"/>
        <w:rPr>
          <w:color w:val="000000"/>
        </w:rPr>
      </w:pPr>
      <w:r>
        <w:rPr>
          <w:color w:val="000000"/>
        </w:rPr>
        <w:t>Three recent photos of passport size</w:t>
      </w:r>
      <w:r>
        <w:t>.</w:t>
      </w:r>
      <w:r>
        <w:rPr>
          <w:color w:val="000000"/>
        </w:rPr>
        <w:t xml:space="preserve"> One photo should be pasted onto the application form.</w:t>
      </w:r>
    </w:p>
    <w:p>
      <w:pPr>
        <w:widowControl/>
        <w:numPr>
          <w:ilvl w:val="0"/>
          <w:numId w:val="18"/>
        </w:numPr>
        <w:tabs>
          <w:tab w:val="left" w:pos="360"/>
          <w:tab w:val="left" w:pos="840"/>
        </w:tabs>
        <w:jc w:val="left"/>
        <w:rPr>
          <w:color w:val="000000"/>
        </w:rPr>
      </w:pPr>
      <w:r>
        <w:t xml:space="preserve">A formal degree certificate of your Bachelor’s </w:t>
      </w:r>
      <w:r>
        <w:rPr>
          <w:rFonts w:hint="eastAsia"/>
        </w:rPr>
        <w:t>d</w:t>
      </w:r>
      <w:r>
        <w:t>egree (notarized photocopy).</w:t>
      </w:r>
    </w:p>
    <w:p>
      <w:pPr>
        <w:widowControl/>
        <w:numPr>
          <w:ilvl w:val="0"/>
          <w:numId w:val="18"/>
        </w:numPr>
        <w:tabs>
          <w:tab w:val="left" w:pos="360"/>
          <w:tab w:val="left" w:pos="840"/>
        </w:tabs>
        <w:jc w:val="left"/>
        <w:rPr>
          <w:color w:val="000000"/>
        </w:rPr>
      </w:pPr>
      <w:r>
        <w:rPr>
          <w:color w:val="000000"/>
        </w:rPr>
        <w:t>Academic</w:t>
      </w:r>
      <w:r>
        <w:t xml:space="preserve"> transcript of your Bachelor’s education (original or notarized photocopy).</w:t>
      </w:r>
    </w:p>
    <w:p>
      <w:pPr>
        <w:widowControl/>
        <w:numPr>
          <w:ilvl w:val="0"/>
          <w:numId w:val="18"/>
        </w:numPr>
        <w:tabs>
          <w:tab w:val="left" w:pos="360"/>
          <w:tab w:val="left" w:pos="840"/>
        </w:tabs>
        <w:jc w:val="left"/>
      </w:pPr>
      <w:r>
        <w:rPr>
          <w:rFonts w:hint="eastAsia"/>
        </w:rPr>
        <w:t>Resume in English.</w:t>
      </w:r>
    </w:p>
    <w:p>
      <w:pPr>
        <w:widowControl/>
        <w:numPr>
          <w:ilvl w:val="0"/>
          <w:numId w:val="18"/>
        </w:numPr>
        <w:tabs>
          <w:tab w:val="left" w:pos="360"/>
          <w:tab w:val="left" w:pos="840"/>
        </w:tabs>
        <w:jc w:val="left"/>
      </w:pPr>
      <w:r>
        <w:t>Personal statement</w:t>
      </w:r>
      <w:r>
        <w:rPr>
          <w:rFonts w:hint="eastAsia"/>
        </w:rPr>
        <w:t xml:space="preserve"> in English, at least 2-page A4 paper (please indicate the motivation for applying for Tsinghua MIDG program, any advantage and accomplishment for fulfilling the program, study plan and career goal)  </w:t>
      </w:r>
    </w:p>
    <w:p>
      <w:pPr>
        <w:widowControl/>
        <w:numPr>
          <w:ilvl w:val="0"/>
          <w:numId w:val="18"/>
        </w:numPr>
        <w:tabs>
          <w:tab w:val="left" w:pos="360"/>
          <w:tab w:val="left" w:pos="840"/>
        </w:tabs>
        <w:jc w:val="left"/>
      </w:pPr>
      <w:r>
        <w:t>Two letters of recommendation (original in English or in Chinese) from scholars of associate professor or higher, or employers</w:t>
      </w:r>
    </w:p>
    <w:p>
      <w:pPr>
        <w:numPr>
          <w:ilvl w:val="0"/>
          <w:numId w:val="18"/>
        </w:numPr>
        <w:tabs>
          <w:tab w:val="left" w:pos="360"/>
          <w:tab w:val="left" w:pos="420"/>
        </w:tabs>
        <w:ind w:left="0" w:firstLine="0"/>
        <w:rPr>
          <w:color w:val="000000"/>
        </w:rPr>
      </w:pPr>
      <w:r>
        <w:t>One photocopy of your passport (personal and ordinary passport).</w:t>
      </w:r>
    </w:p>
    <w:p>
      <w:pPr>
        <w:numPr>
          <w:ilvl w:val="0"/>
          <w:numId w:val="18"/>
        </w:numPr>
        <w:tabs>
          <w:tab w:val="left" w:pos="360"/>
          <w:tab w:val="left" w:pos="840"/>
        </w:tabs>
        <w:ind w:left="284" w:hanging="284"/>
        <w:rPr>
          <w:color w:val="000000"/>
        </w:rPr>
      </w:pPr>
      <w:r>
        <w:t xml:space="preserve">Photocopies of English language proficiency test results (For non-native English speakers or applicants whose instruction media of tertiary education is not English, evidence of English proficiency </w:t>
      </w:r>
      <w:r>
        <w:rPr>
          <w:rFonts w:hint="eastAsia"/>
        </w:rPr>
        <w:t xml:space="preserve">should </w:t>
      </w:r>
      <w:r>
        <w:t>be demonstrated by a passing TOEFL</w:t>
      </w:r>
      <w:r>
        <w:rPr>
          <w:rFonts w:hint="eastAsia"/>
        </w:rPr>
        <w:t xml:space="preserve"> 85</w:t>
      </w:r>
      <w:r>
        <w:t xml:space="preserve"> or IELTS </w:t>
      </w:r>
      <w:r>
        <w:rPr>
          <w:rFonts w:hint="eastAsia"/>
        </w:rPr>
        <w:t xml:space="preserve">6.5. </w:t>
      </w:r>
      <w:r>
        <w:t>A GRE score is desirable but not required.)</w:t>
      </w:r>
    </w:p>
    <w:p>
      <w:pPr>
        <w:numPr>
          <w:ilvl w:val="0"/>
          <w:numId w:val="18"/>
        </w:numPr>
        <w:tabs>
          <w:tab w:val="left" w:pos="360"/>
          <w:tab w:val="left" w:pos="840"/>
        </w:tabs>
        <w:ind w:left="284" w:hanging="284"/>
        <w:rPr>
          <w:color w:val="000000"/>
        </w:rPr>
      </w:pPr>
      <w:r>
        <w:t>Foreigner Physical Examination Form.</w:t>
      </w:r>
    </w:p>
    <w:p>
      <w:pPr>
        <w:numPr>
          <w:ilvl w:val="0"/>
          <w:numId w:val="18"/>
        </w:numPr>
        <w:tabs>
          <w:tab w:val="left" w:pos="360"/>
          <w:tab w:val="left" w:pos="840"/>
        </w:tabs>
        <w:ind w:left="284" w:hanging="284"/>
        <w:rPr>
          <w:color w:val="000000"/>
        </w:rPr>
      </w:pPr>
      <w:r>
        <w:rPr>
          <w:color w:val="000000"/>
        </w:rPr>
        <w:t>Chinese Government Scholarship</w:t>
      </w:r>
      <w:r>
        <w:rPr>
          <w:rFonts w:hint="eastAsia"/>
        </w:rPr>
        <w:t xml:space="preserve"> Application Form.</w:t>
      </w:r>
    </w:p>
    <w:p>
      <w:pPr>
        <w:widowControl/>
        <w:ind w:left="360"/>
        <w:jc w:val="left"/>
        <w:rPr>
          <w:color w:val="000000"/>
        </w:rPr>
      </w:pPr>
    </w:p>
    <w:p>
      <w:pPr>
        <w:spacing w:before="156"/>
        <w:rPr>
          <w:b/>
          <w:color w:val="000000"/>
        </w:rPr>
      </w:pPr>
      <w:r>
        <w:rPr>
          <w:b/>
          <w:color w:val="000000"/>
        </w:rPr>
        <w:t xml:space="preserve">The documents provided should be the original documents </w:t>
      </w:r>
      <w:r>
        <w:rPr>
          <w:b/>
          <w:color w:val="000000"/>
          <w:u w:val="single"/>
        </w:rPr>
        <w:t>in Chinese or in English</w:t>
      </w:r>
      <w:r>
        <w:rPr>
          <w:b/>
          <w:color w:val="000000"/>
        </w:rPr>
        <w:t>; otherwise notarized translations</w:t>
      </w:r>
      <w:r>
        <w:rPr>
          <w:b/>
          <w:color w:val="000000"/>
          <w:u w:val="single"/>
        </w:rPr>
        <w:t xml:space="preserve"> in Chinese or English</w:t>
      </w:r>
      <w:r>
        <w:rPr>
          <w:b/>
          <w:color w:val="000000"/>
        </w:rPr>
        <w:t xml:space="preserve"> are required. </w:t>
      </w:r>
    </w:p>
    <w:p>
      <w:pPr>
        <w:widowControl/>
        <w:ind w:left="360"/>
        <w:jc w:val="left"/>
        <w:rPr>
          <w:color w:val="000000"/>
        </w:rPr>
      </w:pPr>
    </w:p>
    <w:p>
      <w:pPr>
        <w:widowControl/>
        <w:jc w:val="left"/>
        <w:rPr>
          <w:b/>
          <w:bCs/>
          <w:color w:val="000000"/>
        </w:rPr>
      </w:pPr>
      <w:r>
        <w:rPr>
          <w:b/>
          <w:bCs/>
          <w:color w:val="000000"/>
        </w:rPr>
        <w:t>None of the above application</w:t>
      </w:r>
      <w:r>
        <w:rPr>
          <w:rFonts w:hint="eastAsia"/>
          <w:b/>
          <w:bCs/>
          <w:color w:val="000000"/>
        </w:rPr>
        <w:t xml:space="preserve"> document</w:t>
      </w:r>
      <w:r>
        <w:rPr>
          <w:b/>
          <w:bCs/>
          <w:color w:val="000000"/>
        </w:rPr>
        <w:t>s will be returned.</w:t>
      </w:r>
    </w:p>
    <w:p>
      <w:pPr>
        <w:widowControl/>
        <w:ind w:left="360"/>
        <w:jc w:val="left"/>
        <w:rPr>
          <w:b/>
          <w:bCs/>
          <w:color w:val="000000"/>
        </w:rPr>
      </w:pPr>
    </w:p>
    <w:p>
      <w:pPr>
        <w:widowControl/>
        <w:jc w:val="left"/>
        <w:rPr>
          <w:b/>
          <w:bCs/>
        </w:rPr>
      </w:pPr>
      <w:r>
        <w:rPr>
          <w:b/>
          <w:bCs/>
        </w:rPr>
        <w:t xml:space="preserve">Only applicants recommended by </w:t>
      </w:r>
      <w:r>
        <w:rPr>
          <w:rFonts w:ascii="Times New Roman" w:hAnsi="Times New Roman" w:eastAsia="Times New Roman" w:cs="Times New Roman"/>
          <w:b/>
          <w:bCs/>
          <w:color w:val="auto"/>
          <w:spacing w:val="0"/>
          <w:position w:val="0"/>
          <w:sz w:val="24"/>
          <w:shd w:val="clear" w:fill="auto"/>
        </w:rPr>
        <w:t>the Economic and Commercial Counselor’s Office (ECC) of Chinese Embassy</w:t>
      </w:r>
      <w:r>
        <w:rPr>
          <w:b/>
          <w:bCs/>
        </w:rPr>
        <w:t xml:space="preserve"> will be considered</w:t>
      </w:r>
      <w:r>
        <w:rPr>
          <w:rFonts w:hint="eastAsia"/>
          <w:b/>
          <w:bCs/>
        </w:rPr>
        <w:t xml:space="preserve"> for admission</w:t>
      </w:r>
      <w:r>
        <w:rPr>
          <w:b/>
          <w:bCs/>
        </w:rPr>
        <w:t>.</w:t>
      </w:r>
    </w:p>
    <w:p>
      <w:pPr>
        <w:widowControl/>
        <w:jc w:val="left"/>
        <w:rPr>
          <w:b/>
          <w:bCs/>
          <w:color w:val="000000"/>
        </w:rPr>
      </w:pPr>
    </w:p>
    <w:p>
      <w:pPr>
        <w:pStyle w:val="10"/>
        <w:adjustRightInd w:val="0"/>
        <w:snapToGrid w:val="0"/>
        <w:spacing w:line="300" w:lineRule="auto"/>
        <w:rPr>
          <w:rFonts w:ascii="Times New Roman" w:hAnsi="Times New Roman"/>
          <w:b/>
          <w:bCs/>
          <w:sz w:val="30"/>
          <w:szCs w:val="30"/>
        </w:rPr>
      </w:pPr>
      <w:r>
        <w:rPr>
          <w:rFonts w:ascii="Times New Roman" w:hAnsi="Times New Roman"/>
          <w:b/>
          <w:bCs/>
          <w:sz w:val="30"/>
          <w:szCs w:val="30"/>
        </w:rPr>
        <w:t>Application Procedure</w:t>
      </w:r>
    </w:p>
    <w:p>
      <w:pPr>
        <w:spacing w:before="156" w:beforeLines="50" w:line="320" w:lineRule="exact"/>
        <w:ind w:firstLine="441" w:firstLineChars="209"/>
        <w:rPr>
          <w:b/>
          <w:color w:val="000000"/>
        </w:rPr>
      </w:pPr>
      <w:r>
        <w:rPr>
          <w:b/>
          <w:color w:val="000000"/>
        </w:rPr>
        <w:t xml:space="preserve">Step </w:t>
      </w:r>
      <w:r>
        <w:rPr>
          <w:rFonts w:hint="eastAsia"/>
          <w:b/>
          <w:color w:val="000000"/>
        </w:rPr>
        <w:t>1</w:t>
      </w:r>
      <w:r>
        <w:rPr>
          <w:b/>
          <w:color w:val="000000"/>
        </w:rPr>
        <w:t>:  Online Application</w:t>
      </w:r>
    </w:p>
    <w:p>
      <w:pPr>
        <w:spacing w:before="156" w:beforeLines="50" w:line="320" w:lineRule="exact"/>
        <w:ind w:firstLine="439" w:firstLineChars="209"/>
        <w:rPr>
          <w:color w:val="000000"/>
          <w:u w:val="single"/>
        </w:rPr>
      </w:pPr>
      <w:r>
        <w:rPr>
          <w:color w:val="000000"/>
          <w:u w:val="single"/>
        </w:rPr>
        <w:t xml:space="preserve">Complete On-line Application on the website of International Students Office, Tsinghua </w:t>
      </w:r>
      <w:bookmarkStart w:id="7" w:name="_GoBack"/>
      <w:bookmarkEnd w:id="7"/>
      <w:r>
        <w:rPr>
          <w:color w:val="000000"/>
          <w:u w:val="single"/>
        </w:rPr>
        <w:t xml:space="preserve">University (http://is.tsinghua.edu.cn). </w:t>
      </w:r>
      <w:r>
        <w:rPr>
          <w:rFonts w:hint="eastAsia"/>
          <w:color w:val="000000"/>
          <w:u w:val="single"/>
        </w:rPr>
        <w:t xml:space="preserve">When filling the online application, </w:t>
      </w:r>
      <w:r>
        <w:rPr>
          <w:rFonts w:hint="eastAsia"/>
          <w:u w:val="single"/>
        </w:rPr>
        <w:t xml:space="preserve">please choose </w:t>
      </w:r>
      <w:r>
        <w:rPr>
          <w:rFonts w:hint="eastAsia"/>
          <w:b/>
          <w:u w:val="single"/>
        </w:rPr>
        <w:t xml:space="preserve">Master of Public Administration in International Development program </w:t>
      </w:r>
      <w:r>
        <w:rPr>
          <w:rFonts w:hint="eastAsia"/>
          <w:u w:val="single"/>
        </w:rPr>
        <w:t xml:space="preserve">in the system, and specify the financial sponsor is </w:t>
      </w:r>
      <w:r>
        <w:rPr>
          <w:rFonts w:hint="eastAsia"/>
          <w:b/>
          <w:u w:val="single"/>
        </w:rPr>
        <w:t>Chinese Ministry of Commerce</w:t>
      </w:r>
      <w:r>
        <w:rPr>
          <w:rFonts w:hint="eastAsia"/>
          <w:color w:val="000000"/>
          <w:u w:val="single"/>
        </w:rPr>
        <w:t>.</w:t>
      </w:r>
      <w:r>
        <w:rPr>
          <w:color w:val="000000"/>
          <w:u w:val="single"/>
        </w:rPr>
        <w:t xml:space="preserve"> Print, sign and attach 2-inch photo on the Application Form produced by the system after the application status changes to "verified". </w:t>
      </w:r>
    </w:p>
    <w:p>
      <w:pPr>
        <w:spacing w:before="156" w:beforeLines="50" w:line="320" w:lineRule="exact"/>
        <w:ind w:firstLine="439" w:firstLineChars="209"/>
        <w:rPr>
          <w:color w:val="000000"/>
          <w:u w:val="single"/>
        </w:rPr>
      </w:pPr>
      <w:r>
        <w:rPr>
          <w:color w:val="000000"/>
          <w:u w:val="single"/>
        </w:rPr>
        <w:t xml:space="preserve">Submit </w:t>
      </w:r>
      <w:r>
        <w:rPr>
          <w:u w:val="single"/>
        </w:rPr>
        <w:t xml:space="preserve">the Form along with other application materials listed above to </w:t>
      </w:r>
      <w:r>
        <w:rPr>
          <w:color w:val="000000"/>
          <w:u w:val="single"/>
        </w:rPr>
        <w:t>the Economic and Commercial Counsellor’s Office of the Chinese Embassy in your own country.</w:t>
      </w:r>
    </w:p>
    <w:p>
      <w:pPr>
        <w:pStyle w:val="10"/>
        <w:adjustRightInd w:val="0"/>
        <w:snapToGrid w:val="0"/>
        <w:spacing w:line="300" w:lineRule="auto"/>
        <w:rPr>
          <w:rFonts w:ascii="Times New Roman" w:hAnsi="Times New Roman"/>
          <w:b/>
          <w:bCs/>
          <w:sz w:val="30"/>
          <w:szCs w:val="30"/>
        </w:rPr>
      </w:pPr>
    </w:p>
    <w:p>
      <w:pPr>
        <w:spacing w:before="156" w:beforeLines="50" w:line="320" w:lineRule="exact"/>
        <w:ind w:firstLine="441" w:firstLineChars="209"/>
        <w:rPr>
          <w:b/>
          <w:color w:val="000000"/>
        </w:rPr>
      </w:pPr>
      <w:r>
        <w:rPr>
          <w:b/>
          <w:color w:val="000000"/>
        </w:rPr>
        <w:t xml:space="preserve">Step </w:t>
      </w:r>
      <w:r>
        <w:rPr>
          <w:rFonts w:hint="eastAsia"/>
          <w:b/>
          <w:color w:val="000000"/>
        </w:rPr>
        <w:t>2</w:t>
      </w:r>
      <w:r>
        <w:rPr>
          <w:b/>
          <w:color w:val="000000"/>
        </w:rPr>
        <w:t>:  Recommendation</w:t>
      </w:r>
    </w:p>
    <w:p>
      <w:pPr>
        <w:spacing w:before="156" w:beforeLines="50" w:line="320" w:lineRule="exact"/>
        <w:ind w:firstLine="439" w:firstLineChars="209"/>
        <w:rPr>
          <w:color w:val="000000"/>
          <w:u w:val="single"/>
        </w:rPr>
      </w:pPr>
      <w:r>
        <w:rPr>
          <w:color w:val="000000"/>
          <w:u w:val="single"/>
        </w:rPr>
        <w:t>Acquire recommendation from your current organization to the Economic and Commercial Counsellor’s Office</w:t>
      </w:r>
      <w:r>
        <w:rPr>
          <w:u w:val="single"/>
        </w:rPr>
        <w:t>, Embassy</w:t>
      </w:r>
      <w:r>
        <w:rPr>
          <w:color w:val="000000"/>
          <w:u w:val="single"/>
        </w:rPr>
        <w:t xml:space="preserve"> of the People’s Republic of China in your own country and get approved.</w:t>
      </w:r>
    </w:p>
    <w:p>
      <w:pPr>
        <w:widowControl/>
        <w:spacing w:before="100" w:beforeAutospacing="1" w:after="100" w:afterAutospacing="1"/>
        <w:ind w:firstLine="422" w:firstLineChars="200"/>
        <w:rPr>
          <w:b/>
          <w:color w:val="000000"/>
        </w:rPr>
      </w:pPr>
      <w:r>
        <w:rPr>
          <w:b/>
          <w:color w:val="000000"/>
        </w:rPr>
        <w:t>Step 3:</w:t>
      </w:r>
      <w:r>
        <w:rPr>
          <w:color w:val="000000"/>
        </w:rPr>
        <w:t xml:space="preserve"> </w:t>
      </w:r>
      <w:r>
        <w:rPr>
          <w:b/>
          <w:color w:val="000000"/>
        </w:rPr>
        <w:t>Scholarship Application</w:t>
      </w:r>
    </w:p>
    <w:p>
      <w:pPr>
        <w:spacing w:before="156" w:beforeLines="50" w:line="320" w:lineRule="exact"/>
        <w:ind w:firstLine="439" w:firstLineChars="209"/>
        <w:rPr>
          <w:color w:val="000000"/>
          <w:u w:val="single"/>
        </w:rPr>
      </w:pPr>
      <w:r>
        <w:rPr>
          <w:color w:val="000000"/>
        </w:rPr>
        <w:t xml:space="preserve"> </w:t>
      </w:r>
      <w:r>
        <w:rPr>
          <w:color w:val="000000"/>
          <w:u w:val="single"/>
        </w:rPr>
        <w:t>Complete Chinese Government Scholarship Online Application (</w:t>
      </w:r>
      <w:r>
        <w:fldChar w:fldCharType="begin"/>
      </w:r>
      <w:r>
        <w:instrText xml:space="preserve"> HYPERLINK "http://laihua.csc.edu.cn/" </w:instrText>
      </w:r>
      <w:r>
        <w:fldChar w:fldCharType="separate"/>
      </w:r>
      <w:r>
        <w:rPr>
          <w:u w:val="single"/>
        </w:rPr>
        <w:t>http://laihua.csc.edu.cn</w:t>
      </w:r>
      <w:r>
        <w:rPr>
          <w:u w:val="single"/>
        </w:rPr>
        <w:fldChar w:fldCharType="end"/>
      </w:r>
      <w:r>
        <w:rPr>
          <w:u w:val="single"/>
        </w:rPr>
        <w:t xml:space="preserve">). </w:t>
      </w:r>
      <w:r>
        <w:rPr>
          <w:color w:val="000000"/>
          <w:u w:val="single"/>
        </w:rPr>
        <w:t>Print, sign and attach 2-inch photo on the Application Form produced by the system.</w:t>
      </w:r>
      <w:r>
        <w:rPr>
          <w:u w:val="single"/>
        </w:rPr>
        <w:t xml:space="preserve"> </w:t>
      </w:r>
      <w:r>
        <w:rPr>
          <w:color w:val="000000"/>
          <w:u w:val="single"/>
        </w:rPr>
        <w:t xml:space="preserve">Submit </w:t>
      </w:r>
      <w:r>
        <w:rPr>
          <w:u w:val="single"/>
        </w:rPr>
        <w:t xml:space="preserve">the Form along with other application materials listed above to </w:t>
      </w:r>
      <w:r>
        <w:rPr>
          <w:color w:val="000000"/>
          <w:u w:val="single"/>
        </w:rPr>
        <w:t>the Economic and Commercial Counsellor’s Office of the Chinese Embassy in your own country.</w:t>
      </w:r>
    </w:p>
    <w:p>
      <w:pPr>
        <w:spacing w:before="156" w:beforeLines="50" w:line="320" w:lineRule="exact"/>
        <w:ind w:firstLine="439" w:firstLineChars="209"/>
        <w:rPr>
          <w:color w:val="000000"/>
          <w:u w:val="single"/>
        </w:rPr>
      </w:pPr>
      <w:r>
        <w:rPr>
          <w:u w:val="single"/>
        </w:rPr>
        <w:t>Please be noted that the agency number of Tsinghua University is 10003.</w:t>
      </w:r>
      <w:r>
        <w:rPr>
          <w:color w:val="000000"/>
          <w:u w:val="single"/>
        </w:rPr>
        <w:t xml:space="preserve"> </w:t>
      </w:r>
    </w:p>
    <w:bookmarkEnd w:id="5"/>
    <w:bookmarkEnd w:id="6"/>
    <w:p>
      <w:pPr>
        <w:pStyle w:val="10"/>
        <w:adjustRightInd w:val="0"/>
        <w:snapToGrid w:val="0"/>
        <w:spacing w:line="300" w:lineRule="auto"/>
        <w:rPr>
          <w:rFonts w:ascii="Times New Roman" w:hAnsi="Times New Roman"/>
          <w:b/>
          <w:bCs/>
          <w:sz w:val="30"/>
          <w:szCs w:val="30"/>
        </w:rPr>
      </w:pPr>
    </w:p>
    <w:p>
      <w:pPr>
        <w:pStyle w:val="10"/>
        <w:adjustRightInd w:val="0"/>
        <w:snapToGrid w:val="0"/>
        <w:spacing w:line="300" w:lineRule="auto"/>
        <w:rPr>
          <w:rFonts w:ascii="Times New Roman" w:hAnsi="Times New Roman"/>
          <w:b/>
          <w:bCs/>
          <w:sz w:val="30"/>
          <w:szCs w:val="30"/>
        </w:rPr>
      </w:pPr>
      <w:r>
        <w:rPr>
          <w:rFonts w:ascii="Times New Roman" w:hAnsi="Times New Roman"/>
          <w:b/>
          <w:bCs/>
          <w:sz w:val="30"/>
          <w:szCs w:val="30"/>
        </w:rPr>
        <w:t>Important Dates</w:t>
      </w:r>
    </w:p>
    <w:tbl>
      <w:tblPr>
        <w:tblStyle w:val="21"/>
        <w:tblW w:w="74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4503" w:type="dxa"/>
            <w:vAlign w:val="center"/>
          </w:tcPr>
          <w:p>
            <w:pPr>
              <w:spacing w:before="156" w:beforeLines="50" w:after="156" w:afterLines="50"/>
              <w:jc w:val="center"/>
              <w:rPr>
                <w:b/>
              </w:rPr>
            </w:pPr>
            <w:r>
              <w:rPr>
                <w:b/>
              </w:rPr>
              <w:t>Events</w:t>
            </w:r>
          </w:p>
        </w:tc>
        <w:tc>
          <w:tcPr>
            <w:tcW w:w="2929" w:type="dxa"/>
            <w:vAlign w:val="center"/>
          </w:tcPr>
          <w:p>
            <w:pPr>
              <w:spacing w:before="156" w:beforeLines="50" w:after="156" w:afterLines="50"/>
              <w:jc w:val="center"/>
              <w:rPr>
                <w:b/>
                <w:u w:val="single"/>
              </w:rPr>
            </w:pPr>
            <w:r>
              <w:rPr>
                <w:b/>
                <w:u w:val="single"/>
              </w:rPr>
              <w:t>Deadline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4503" w:type="dxa"/>
            <w:vAlign w:val="center"/>
          </w:tcPr>
          <w:p>
            <w:pPr>
              <w:spacing w:before="156" w:beforeLines="50" w:after="156" w:afterLines="50"/>
            </w:pPr>
            <w:r>
              <w:t>Deadline of Application Materials</w:t>
            </w:r>
          </w:p>
        </w:tc>
        <w:tc>
          <w:tcPr>
            <w:tcW w:w="2929" w:type="dxa"/>
            <w:vAlign w:val="center"/>
          </w:tcPr>
          <w:p>
            <w:pPr>
              <w:spacing w:before="156" w:beforeLines="50" w:after="156" w:afterLines="50"/>
            </w:pPr>
            <w:r>
              <w:rPr>
                <w:rFonts w:hint="eastAsia"/>
                <w:lang w:val="en-US" w:eastAsia="zh-CN"/>
              </w:rPr>
              <w:t>May</w:t>
            </w:r>
            <w:r>
              <w:rPr>
                <w:rFonts w:hint="eastAsia"/>
              </w:rPr>
              <w:t xml:space="preserve"> </w:t>
            </w:r>
            <w:r>
              <w:rPr>
                <w:rFonts w:hint="eastAsia"/>
                <w:lang w:val="en-US" w:eastAsia="zh-CN"/>
              </w:rPr>
              <w:t>3</w:t>
            </w:r>
            <w:r>
              <w:rPr>
                <w:rFonts w:hint="eastAsia"/>
              </w:rPr>
              <w:t xml:space="preserve">1, </w:t>
            </w:r>
            <w:r>
              <w:t>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4503" w:type="dxa"/>
            <w:vAlign w:val="center"/>
          </w:tcPr>
          <w:p>
            <w:pPr>
              <w:spacing w:before="156" w:beforeLines="50" w:after="156" w:afterLines="50"/>
            </w:pPr>
            <w:r>
              <w:t>Admission Notice and Visa Application Form (JW201) Issued</w:t>
            </w:r>
          </w:p>
        </w:tc>
        <w:tc>
          <w:tcPr>
            <w:tcW w:w="2929" w:type="dxa"/>
            <w:vAlign w:val="center"/>
          </w:tcPr>
          <w:p>
            <w:pPr>
              <w:spacing w:before="156" w:beforeLines="50" w:after="156" w:afterLines="50"/>
            </w:pPr>
            <w:r>
              <w:rPr>
                <w:rFonts w:hint="eastAsia"/>
                <w:lang w:val="en-US" w:eastAsia="zh-CN"/>
              </w:rPr>
              <w:t>July</w:t>
            </w:r>
            <w:r>
              <w:t>, 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156" w:beforeLines="50" w:after="156" w:afterLines="50"/>
            </w:pPr>
            <w:r>
              <w:t>Registration</w:t>
            </w:r>
          </w:p>
        </w:tc>
        <w:tc>
          <w:tcPr>
            <w:tcW w:w="2929" w:type="dxa"/>
            <w:vAlign w:val="center"/>
          </w:tcPr>
          <w:p>
            <w:pPr>
              <w:spacing w:before="156" w:beforeLines="50" w:after="156" w:afterLines="50"/>
            </w:pPr>
            <w:r>
              <w:rPr>
                <w:rFonts w:hint="eastAsia"/>
              </w:rPr>
              <w:t>August</w:t>
            </w:r>
            <w:r>
              <w:t>, 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156" w:beforeLines="50" w:after="156" w:afterLines="50"/>
            </w:pPr>
            <w:r>
              <w:rPr>
                <w:rFonts w:hint="eastAsia"/>
              </w:rPr>
              <w:t>1</w:t>
            </w:r>
            <w:r>
              <w:rPr>
                <w:rFonts w:hint="eastAsia"/>
                <w:vertAlign w:val="superscript"/>
              </w:rPr>
              <w:t>st</w:t>
            </w:r>
            <w:r>
              <w:rPr>
                <w:rFonts w:hint="eastAsia"/>
              </w:rPr>
              <w:t xml:space="preserve"> </w:t>
            </w:r>
            <w:r>
              <w:t xml:space="preserve">Semester </w:t>
            </w:r>
          </w:p>
        </w:tc>
        <w:tc>
          <w:tcPr>
            <w:tcW w:w="2929" w:type="dxa"/>
            <w:vAlign w:val="center"/>
          </w:tcPr>
          <w:p>
            <w:pPr>
              <w:spacing w:before="156" w:beforeLines="50" w:after="156" w:afterLines="50"/>
            </w:pPr>
            <w:r>
              <w:rPr>
                <w:rFonts w:hint="eastAsia"/>
              </w:rPr>
              <w:t>September</w:t>
            </w:r>
            <w:r>
              <w:t>, 201</w:t>
            </w:r>
            <w:r>
              <w:rPr>
                <w:rFonts w:hint="eastAsia"/>
              </w:rPr>
              <w:t>6</w:t>
            </w:r>
            <w:r>
              <w:t>-</w:t>
            </w:r>
            <w:r>
              <w:rPr>
                <w:rFonts w:hint="eastAsia"/>
              </w:rPr>
              <w:t>January</w:t>
            </w:r>
            <w:r>
              <w:t>, 201</w:t>
            </w: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156" w:beforeLines="50" w:after="156" w:afterLines="50"/>
            </w:pPr>
            <w:r>
              <w:rPr>
                <w:rFonts w:hint="eastAsia"/>
              </w:rPr>
              <w:t>2</w:t>
            </w:r>
            <w:r>
              <w:rPr>
                <w:rFonts w:hint="eastAsia"/>
                <w:vertAlign w:val="superscript"/>
              </w:rPr>
              <w:t>nd</w:t>
            </w:r>
            <w:r>
              <w:rPr>
                <w:rFonts w:hint="eastAsia"/>
              </w:rPr>
              <w:t xml:space="preserve"> </w:t>
            </w:r>
            <w:r>
              <w:t>Semester</w:t>
            </w:r>
          </w:p>
        </w:tc>
        <w:tc>
          <w:tcPr>
            <w:tcW w:w="2929" w:type="dxa"/>
            <w:vAlign w:val="center"/>
          </w:tcPr>
          <w:p>
            <w:pPr>
              <w:spacing w:before="156" w:beforeLines="50" w:after="156" w:afterLines="50"/>
            </w:pPr>
            <w:r>
              <w:t>February, 201</w:t>
            </w:r>
            <w:r>
              <w:rPr>
                <w:rFonts w:hint="eastAsia"/>
              </w:rPr>
              <w:t>7-July, 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156" w:beforeLines="50" w:after="156" w:afterLines="50"/>
            </w:pPr>
            <w:r>
              <w:rPr>
                <w:rFonts w:hint="eastAsia"/>
              </w:rPr>
              <w:t>3</w:t>
            </w:r>
            <w:r>
              <w:rPr>
                <w:rFonts w:hint="eastAsia"/>
                <w:vertAlign w:val="superscript"/>
              </w:rPr>
              <w:t>rd</w:t>
            </w:r>
            <w:r>
              <w:rPr>
                <w:rFonts w:hint="eastAsia"/>
              </w:rPr>
              <w:t xml:space="preserve"> </w:t>
            </w:r>
            <w:r>
              <w:t xml:space="preserve">Semester </w:t>
            </w:r>
          </w:p>
        </w:tc>
        <w:tc>
          <w:tcPr>
            <w:tcW w:w="2929" w:type="dxa"/>
            <w:vAlign w:val="center"/>
          </w:tcPr>
          <w:p>
            <w:pPr>
              <w:spacing w:before="156" w:beforeLines="50" w:after="156" w:afterLines="50"/>
            </w:pPr>
            <w:r>
              <w:rPr>
                <w:rFonts w:hint="eastAsia"/>
              </w:rPr>
              <w:t>September</w:t>
            </w:r>
            <w:r>
              <w:t>, 201</w:t>
            </w:r>
            <w:r>
              <w:rPr>
                <w:rFonts w:hint="eastAsia"/>
              </w:rPr>
              <w:t>7</w:t>
            </w:r>
            <w:r>
              <w:t>-</w:t>
            </w:r>
            <w:r>
              <w:rPr>
                <w:rFonts w:hint="eastAsia"/>
              </w:rPr>
              <w:t>January</w:t>
            </w:r>
            <w:r>
              <w:t>, 201</w:t>
            </w: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156" w:beforeLines="50" w:after="156" w:afterLines="50"/>
            </w:pPr>
            <w:r>
              <w:rPr>
                <w:rFonts w:hint="eastAsia"/>
              </w:rPr>
              <w:t>4</w:t>
            </w:r>
            <w:r>
              <w:rPr>
                <w:rFonts w:hint="eastAsia"/>
                <w:vertAlign w:val="superscript"/>
              </w:rPr>
              <w:t>th</w:t>
            </w:r>
            <w:r>
              <w:rPr>
                <w:rFonts w:hint="eastAsia"/>
              </w:rPr>
              <w:t xml:space="preserve"> </w:t>
            </w:r>
            <w:r>
              <w:t xml:space="preserve">Semester </w:t>
            </w:r>
          </w:p>
        </w:tc>
        <w:tc>
          <w:tcPr>
            <w:tcW w:w="2929" w:type="dxa"/>
            <w:vAlign w:val="center"/>
          </w:tcPr>
          <w:p>
            <w:pPr>
              <w:spacing w:before="156" w:beforeLines="50" w:after="156" w:afterLines="50"/>
            </w:pPr>
            <w:r>
              <w:t>February, 201</w:t>
            </w:r>
            <w:r>
              <w:rPr>
                <w:rFonts w:hint="eastAsia"/>
              </w:rPr>
              <w:t>8-June, 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156" w:beforeLines="50" w:after="156" w:afterLines="50"/>
            </w:pPr>
            <w:r>
              <w:t>Return to Home Country</w:t>
            </w:r>
          </w:p>
        </w:tc>
        <w:tc>
          <w:tcPr>
            <w:tcW w:w="2929" w:type="dxa"/>
            <w:vAlign w:val="center"/>
          </w:tcPr>
          <w:p>
            <w:pPr>
              <w:spacing w:before="156" w:beforeLines="50" w:after="156" w:afterLines="50"/>
            </w:pPr>
            <w:r>
              <w:t>J</w:t>
            </w:r>
            <w:r>
              <w:rPr>
                <w:rFonts w:hint="eastAsia"/>
              </w:rPr>
              <w:t>uly</w:t>
            </w:r>
            <w:r>
              <w:t>, 201</w:t>
            </w:r>
            <w:r>
              <w:rPr>
                <w:rFonts w:hint="eastAsia"/>
              </w:rPr>
              <w:t>8</w:t>
            </w:r>
          </w:p>
        </w:tc>
      </w:tr>
    </w:tbl>
    <w:p>
      <w:pPr>
        <w:spacing w:before="156" w:beforeLines="50" w:after="156" w:afterLines="50"/>
      </w:pPr>
    </w:p>
    <w:p>
      <w:pPr>
        <w:spacing w:before="156" w:beforeLines="50" w:after="156" w:afterLines="50"/>
        <w:rPr>
          <w:b/>
        </w:rPr>
      </w:pPr>
      <w:r>
        <w:rPr>
          <w:b/>
        </w:rPr>
        <w:t>Note: Registration time is to be confirmed on the Admission Notice.</w:t>
      </w:r>
    </w:p>
    <w:p>
      <w:pPr>
        <w:spacing w:before="156" w:beforeLines="50" w:after="156" w:afterLines="50"/>
        <w:rPr>
          <w:b/>
          <w:color w:val="000000"/>
        </w:rPr>
      </w:pPr>
    </w:p>
    <w:p>
      <w:pPr>
        <w:pStyle w:val="10"/>
        <w:adjustRightInd w:val="0"/>
        <w:snapToGrid w:val="0"/>
        <w:spacing w:line="300" w:lineRule="auto"/>
        <w:rPr>
          <w:rFonts w:ascii="Times New Roman" w:hAnsi="Times New Roman"/>
          <w:b/>
          <w:bCs/>
          <w:sz w:val="30"/>
          <w:szCs w:val="30"/>
        </w:rPr>
      </w:pPr>
      <w:r>
        <w:rPr>
          <w:rFonts w:ascii="Times New Roman" w:hAnsi="Times New Roman"/>
          <w:b/>
          <w:bCs/>
          <w:sz w:val="30"/>
          <w:szCs w:val="30"/>
        </w:rPr>
        <w:t>Scholarship/Tuition Fee</w:t>
      </w:r>
    </w:p>
    <w:p>
      <w:pPr>
        <w:spacing w:before="156" w:beforeLines="50" w:after="156" w:afterLines="50"/>
      </w:pPr>
      <w:r>
        <w:t xml:space="preserve">The admitted students will be financially supported by the Chinese Government. The scholarship will cover </w:t>
      </w:r>
      <w:r>
        <w:rPr>
          <w:rFonts w:hint="eastAsia"/>
        </w:rPr>
        <w:t>t</w:t>
      </w:r>
      <w:r>
        <w:t>uition fee</w:t>
      </w:r>
      <w:r>
        <w:rPr>
          <w:rFonts w:hint="eastAsia"/>
        </w:rPr>
        <w:t>, m</w:t>
      </w:r>
      <w:r>
        <w:t>onthly stipend</w:t>
      </w:r>
      <w:r>
        <w:rPr>
          <w:rFonts w:hint="eastAsia"/>
        </w:rPr>
        <w:t>, o</w:t>
      </w:r>
      <w:r>
        <w:t>ne-time relocation</w:t>
      </w:r>
      <w:r>
        <w:rPr>
          <w:rFonts w:hint="eastAsia"/>
        </w:rPr>
        <w:t>, a</w:t>
      </w:r>
      <w:r>
        <w:t>ccommodation</w:t>
      </w:r>
      <w:r>
        <w:rPr>
          <w:rFonts w:hint="eastAsia"/>
        </w:rPr>
        <w:t>, o</w:t>
      </w:r>
      <w:r>
        <w:t>ne-time round trip air tickets</w:t>
      </w:r>
      <w:r>
        <w:rPr>
          <w:rFonts w:hint="eastAsia"/>
        </w:rPr>
        <w:t xml:space="preserve"> and </w:t>
      </w:r>
      <w:r>
        <w:t>insurance</w:t>
      </w:r>
      <w:r>
        <w:rPr>
          <w:rFonts w:hint="eastAsia"/>
        </w:rPr>
        <w:t>.</w:t>
      </w:r>
      <w:r>
        <w:rPr>
          <w:rFonts w:hint="eastAsia"/>
          <w:b/>
        </w:rPr>
        <w:t xml:space="preserve"> Once you are admitted to the program, we strongly suggest you learn the details of the insurance clauses at </w:t>
      </w:r>
      <w:r>
        <w:rPr>
          <w:b/>
        </w:rPr>
        <w:t>http://www.lxbx.net/tbzn/lxbx-tb08-s2.html</w:t>
      </w:r>
    </w:p>
    <w:p>
      <w:pPr>
        <w:spacing w:before="156" w:beforeLines="50" w:after="156" w:afterLines="50"/>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 xml:space="preserve">The scholarship will refer Chinese Government Scholarship standard for international master students and be approved by Chinese Ministry of Commerce. </w:t>
      </w:r>
    </w:p>
    <w:p>
      <w:pPr>
        <w:spacing w:before="156" w:beforeLines="50" w:after="156" w:afterLines="50"/>
      </w:pPr>
    </w:p>
    <w:p>
      <w:pPr>
        <w:pStyle w:val="10"/>
        <w:adjustRightInd w:val="0"/>
        <w:snapToGrid w:val="0"/>
        <w:spacing w:line="300" w:lineRule="auto"/>
        <w:rPr>
          <w:rFonts w:ascii="Times New Roman" w:hAnsi="Times New Roman"/>
          <w:b/>
          <w:bCs/>
          <w:sz w:val="30"/>
          <w:szCs w:val="30"/>
        </w:rPr>
      </w:pPr>
      <w:r>
        <w:rPr>
          <w:rFonts w:ascii="Times New Roman" w:hAnsi="Times New Roman"/>
          <w:b/>
          <w:bCs/>
          <w:sz w:val="30"/>
          <w:szCs w:val="30"/>
        </w:rPr>
        <w:t>Contact Information:</w:t>
      </w:r>
    </w:p>
    <w:p>
      <w:pPr>
        <w:spacing w:before="156" w:beforeLines="50" w:after="156" w:afterLines="50"/>
      </w:pPr>
      <w:r>
        <w:t>Tel: (86)10-627</w:t>
      </w:r>
      <w:r>
        <w:rPr>
          <w:rFonts w:hint="eastAsia"/>
        </w:rPr>
        <w:t>81797</w:t>
      </w:r>
    </w:p>
    <w:p>
      <w:pPr>
        <w:spacing w:before="156" w:beforeLines="50" w:after="156" w:afterLines="50"/>
      </w:pPr>
      <w:r>
        <w:t>Fax: (86)10-62782853</w:t>
      </w:r>
      <w:r>
        <w:br w:type="textWrapping"/>
      </w:r>
      <w:r>
        <w:t xml:space="preserve">E-mail: </w:t>
      </w:r>
      <w:r>
        <w:rPr>
          <w:rFonts w:hint="eastAsia"/>
        </w:rPr>
        <w:t>sppm_external</w:t>
      </w:r>
      <w:r>
        <w:fldChar w:fldCharType="begin"/>
      </w:r>
      <w:r>
        <w:instrText xml:space="preserve"> HYPERLINK "mailto:mid@tsinghua.edu.cn" </w:instrText>
      </w:r>
      <w:r>
        <w:fldChar w:fldCharType="separate"/>
      </w:r>
      <w:r>
        <w:t>@tsinghua.edu.cn</w:t>
      </w:r>
      <w:r>
        <w:fldChar w:fldCharType="end"/>
      </w:r>
      <w:r>
        <w:br w:type="textWrapping"/>
      </w:r>
      <w:r>
        <w:t xml:space="preserve">Website: http://www.sppm.tsinghua.edu.cn/english/mid/ </w:t>
      </w:r>
      <w:r>
        <w:br w:type="textWrapping"/>
      </w:r>
      <w:r>
        <w:t>Address: Room 201 – Office</w:t>
      </w:r>
      <w:r>
        <w:rPr>
          <w:rFonts w:hint="eastAsia"/>
        </w:rPr>
        <w:t xml:space="preserve"> for International Cooperation and Exchange</w:t>
      </w:r>
      <w:r>
        <w:br w:type="textWrapping"/>
      </w:r>
      <w:r>
        <w:t xml:space="preserve">        School of Public Policy and Management</w:t>
      </w:r>
      <w:r>
        <w:br w:type="textWrapping"/>
      </w:r>
      <w:r>
        <w:t xml:space="preserve">        Tsinghua University</w:t>
      </w:r>
      <w:r>
        <w:br w:type="textWrapping"/>
      </w:r>
      <w:r>
        <w:t xml:space="preserve">        Beijing 100084, P. R. China</w:t>
      </w:r>
    </w:p>
    <w:p>
      <w:pPr/>
    </w:p>
    <w:p>
      <w:pPr/>
      <w:r>
        <w:rPr>
          <w:b/>
        </w:rPr>
        <w:t>The above information is subject to change by the School of Public Policy and Management, Tsinghua Univers</w:t>
      </w:r>
      <w:r>
        <w:rPr>
          <w:rFonts w:hint="eastAsia"/>
          <w:b/>
        </w:rPr>
        <w:t>ity.</w:t>
      </w:r>
    </w:p>
    <w:sectPr>
      <w:headerReference r:id="rId3" w:type="default"/>
      <w:pgSz w:w="11906" w:h="16838"/>
      <w:pgMar w:top="1440" w:right="1800" w:bottom="1440" w:left="1800" w:header="0" w:footer="0"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Symbol">
    <w:panose1 w:val="05050102010706020507"/>
    <w:charset w:val="02"/>
    <w:family w:val="swiss"/>
    <w:pitch w:val="default"/>
    <w:sig w:usb0="00000000" w:usb1="00000000" w:usb2="00000000" w:usb3="00000000" w:csb0="80000000" w:csb1="00000000"/>
  </w:font>
  <w:font w:name="Courier New">
    <w:panose1 w:val="02070309020205020404"/>
    <w:charset w:val="00"/>
    <w:family w:val="decorative"/>
    <w:pitch w:val="default"/>
    <w:sig w:usb0="E0002AFF" w:usb1="C0007843" w:usb2="00000009" w:usb3="00000000" w:csb0="400001FF" w:csb1="FFFF0000"/>
  </w:font>
  <w:font w:name="??">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roman"/>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inherit">
    <w:altName w:val="Times New Roman"/>
    <w:panose1 w:val="00000000000000000000"/>
    <w:charset w:val="00"/>
    <w:family w:val="swiss"/>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3"/>
      <w:pBdr>
        <w:bottom w:val="none" w:color="auto" w:sz="0" w:space="0"/>
      </w:pBd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21393376">
    <w:nsid w:val="669A60E0"/>
    <w:multiLevelType w:val="multilevel"/>
    <w:tmpl w:val="669A60E0"/>
    <w:lvl w:ilvl="0" w:tentative="1">
      <w:start w:val="1"/>
      <w:numFmt w:val="decimal"/>
      <w:lvlText w:val="%1."/>
      <w:lvlJc w:val="left"/>
      <w:pPr>
        <w:tabs>
          <w:tab w:val="left" w:pos="360"/>
        </w:tabs>
        <w:ind w:left="360" w:hanging="360"/>
      </w:pPr>
      <w:rPr>
        <w:rFonts w:hint="default" w:cs="Times New Roman"/>
      </w:rPr>
    </w:lvl>
    <w:lvl w:ilvl="1" w:tentative="1">
      <w:start w:val="1"/>
      <w:numFmt w:val="lowerLetter"/>
      <w:lvlText w:val="%2)"/>
      <w:lvlJc w:val="left"/>
      <w:pPr>
        <w:tabs>
          <w:tab w:val="left" w:pos="947"/>
        </w:tabs>
        <w:ind w:left="947" w:hanging="420"/>
      </w:pPr>
      <w:rPr>
        <w:rFonts w:cs="Times New Roman"/>
      </w:rPr>
    </w:lvl>
    <w:lvl w:ilvl="2" w:tentative="1">
      <w:start w:val="1"/>
      <w:numFmt w:val="lowerRoman"/>
      <w:lvlText w:val="%3."/>
      <w:lvlJc w:val="right"/>
      <w:pPr>
        <w:tabs>
          <w:tab w:val="left" w:pos="1367"/>
        </w:tabs>
        <w:ind w:left="1367" w:hanging="420"/>
      </w:pPr>
      <w:rPr>
        <w:rFonts w:cs="Times New Roman"/>
      </w:rPr>
    </w:lvl>
    <w:lvl w:ilvl="3" w:tentative="1">
      <w:start w:val="1"/>
      <w:numFmt w:val="decimal"/>
      <w:lvlText w:val="%4."/>
      <w:lvlJc w:val="left"/>
      <w:pPr>
        <w:tabs>
          <w:tab w:val="left" w:pos="1787"/>
        </w:tabs>
        <w:ind w:left="1787" w:hanging="420"/>
      </w:pPr>
      <w:rPr>
        <w:rFonts w:cs="Times New Roman"/>
      </w:rPr>
    </w:lvl>
    <w:lvl w:ilvl="4" w:tentative="1">
      <w:start w:val="1"/>
      <w:numFmt w:val="lowerLetter"/>
      <w:lvlText w:val="%5)"/>
      <w:lvlJc w:val="left"/>
      <w:pPr>
        <w:tabs>
          <w:tab w:val="left" w:pos="2207"/>
        </w:tabs>
        <w:ind w:left="2207" w:hanging="420"/>
      </w:pPr>
      <w:rPr>
        <w:rFonts w:cs="Times New Roman"/>
      </w:rPr>
    </w:lvl>
    <w:lvl w:ilvl="5" w:tentative="1">
      <w:start w:val="1"/>
      <w:numFmt w:val="lowerRoman"/>
      <w:lvlText w:val="%6."/>
      <w:lvlJc w:val="right"/>
      <w:pPr>
        <w:tabs>
          <w:tab w:val="left" w:pos="2627"/>
        </w:tabs>
        <w:ind w:left="2627" w:hanging="420"/>
      </w:pPr>
      <w:rPr>
        <w:rFonts w:cs="Times New Roman"/>
      </w:rPr>
    </w:lvl>
    <w:lvl w:ilvl="6" w:tentative="1">
      <w:start w:val="1"/>
      <w:numFmt w:val="decimal"/>
      <w:lvlText w:val="%7."/>
      <w:lvlJc w:val="left"/>
      <w:pPr>
        <w:tabs>
          <w:tab w:val="left" w:pos="3047"/>
        </w:tabs>
        <w:ind w:left="3047" w:hanging="420"/>
      </w:pPr>
      <w:rPr>
        <w:rFonts w:cs="Times New Roman"/>
      </w:rPr>
    </w:lvl>
    <w:lvl w:ilvl="7" w:tentative="1">
      <w:start w:val="1"/>
      <w:numFmt w:val="lowerLetter"/>
      <w:lvlText w:val="%8)"/>
      <w:lvlJc w:val="left"/>
      <w:pPr>
        <w:tabs>
          <w:tab w:val="left" w:pos="3467"/>
        </w:tabs>
        <w:ind w:left="3467" w:hanging="420"/>
      </w:pPr>
      <w:rPr>
        <w:rFonts w:cs="Times New Roman"/>
      </w:rPr>
    </w:lvl>
    <w:lvl w:ilvl="8" w:tentative="1">
      <w:start w:val="1"/>
      <w:numFmt w:val="lowerRoman"/>
      <w:lvlText w:val="%9."/>
      <w:lvlJc w:val="right"/>
      <w:pPr>
        <w:tabs>
          <w:tab w:val="left" w:pos="3887"/>
        </w:tabs>
        <w:ind w:left="3887" w:hanging="420"/>
      </w:pPr>
      <w:rPr>
        <w:rFonts w:cs="Times New Roman"/>
      </w:rPr>
    </w:lvl>
  </w:abstractNum>
  <w:abstractNum w:abstractNumId="591428323">
    <w:nsid w:val="23407AE3"/>
    <w:multiLevelType w:val="multilevel"/>
    <w:tmpl w:val="23407AE3"/>
    <w:lvl w:ilvl="0" w:tentative="1">
      <w:start w:val="1"/>
      <w:numFmt w:val="bullet"/>
      <w:lvlText w:val=""/>
      <w:lvlJc w:val="left"/>
      <w:pPr>
        <w:ind w:left="1260" w:hanging="420"/>
      </w:pPr>
      <w:rPr>
        <w:rFonts w:hint="default" w:ascii="Wingdings" w:hAnsi="Wingdings"/>
      </w:rPr>
    </w:lvl>
    <w:lvl w:ilvl="1" w:tentative="1">
      <w:start w:val="1"/>
      <w:numFmt w:val="bullet"/>
      <w:lvlText w:val=""/>
      <w:lvlJc w:val="left"/>
      <w:pPr>
        <w:ind w:left="1680" w:hanging="420"/>
      </w:pPr>
      <w:rPr>
        <w:rFonts w:hint="default" w:ascii="Wingdings" w:hAnsi="Wingdings"/>
      </w:rPr>
    </w:lvl>
    <w:lvl w:ilvl="2" w:tentative="1">
      <w:start w:val="1"/>
      <w:numFmt w:val="bullet"/>
      <w:lvlText w:val=""/>
      <w:lvlJc w:val="left"/>
      <w:pPr>
        <w:ind w:left="2100" w:hanging="420"/>
      </w:pPr>
      <w:rPr>
        <w:rFonts w:hint="default" w:ascii="Wingdings" w:hAnsi="Wingdings"/>
      </w:rPr>
    </w:lvl>
    <w:lvl w:ilvl="3" w:tentative="1">
      <w:start w:val="1"/>
      <w:numFmt w:val="bullet"/>
      <w:lvlText w:val=""/>
      <w:lvlJc w:val="left"/>
      <w:pPr>
        <w:ind w:left="2520" w:hanging="420"/>
      </w:pPr>
      <w:rPr>
        <w:rFonts w:hint="default" w:ascii="Wingdings" w:hAnsi="Wingdings"/>
      </w:rPr>
    </w:lvl>
    <w:lvl w:ilvl="4" w:tentative="1">
      <w:start w:val="1"/>
      <w:numFmt w:val="bullet"/>
      <w:lvlText w:val=""/>
      <w:lvlJc w:val="left"/>
      <w:pPr>
        <w:ind w:left="2940" w:hanging="420"/>
      </w:pPr>
      <w:rPr>
        <w:rFonts w:hint="default" w:ascii="Wingdings" w:hAnsi="Wingdings"/>
      </w:rPr>
    </w:lvl>
    <w:lvl w:ilvl="5" w:tentative="1">
      <w:start w:val="1"/>
      <w:numFmt w:val="bullet"/>
      <w:lvlText w:val=""/>
      <w:lvlJc w:val="left"/>
      <w:pPr>
        <w:ind w:left="3360" w:hanging="420"/>
      </w:pPr>
      <w:rPr>
        <w:rFonts w:hint="default" w:ascii="Wingdings" w:hAnsi="Wingdings"/>
      </w:rPr>
    </w:lvl>
    <w:lvl w:ilvl="6" w:tentative="1">
      <w:start w:val="1"/>
      <w:numFmt w:val="bullet"/>
      <w:lvlText w:val=""/>
      <w:lvlJc w:val="left"/>
      <w:pPr>
        <w:ind w:left="3780" w:hanging="420"/>
      </w:pPr>
      <w:rPr>
        <w:rFonts w:hint="default" w:ascii="Wingdings" w:hAnsi="Wingdings"/>
      </w:rPr>
    </w:lvl>
    <w:lvl w:ilvl="7" w:tentative="1">
      <w:start w:val="1"/>
      <w:numFmt w:val="bullet"/>
      <w:lvlText w:val=""/>
      <w:lvlJc w:val="left"/>
      <w:pPr>
        <w:ind w:left="4200" w:hanging="420"/>
      </w:pPr>
      <w:rPr>
        <w:rFonts w:hint="default" w:ascii="Wingdings" w:hAnsi="Wingdings"/>
      </w:rPr>
    </w:lvl>
    <w:lvl w:ilvl="8" w:tentative="1">
      <w:start w:val="1"/>
      <w:numFmt w:val="bullet"/>
      <w:lvlText w:val=""/>
      <w:lvlJc w:val="left"/>
      <w:pPr>
        <w:ind w:left="4620" w:hanging="420"/>
      </w:pPr>
      <w:rPr>
        <w:rFonts w:hint="default" w:ascii="Wingdings" w:hAnsi="Wingdings"/>
      </w:rPr>
    </w:lvl>
  </w:abstractNum>
  <w:abstractNum w:abstractNumId="369839816">
    <w:nsid w:val="160B4EC8"/>
    <w:multiLevelType w:val="multilevel"/>
    <w:tmpl w:val="160B4EC8"/>
    <w:lvl w:ilvl="0" w:tentative="1">
      <w:start w:val="1"/>
      <w:numFmt w:val="bullet"/>
      <w:lvlText w:val=""/>
      <w:lvlJc w:val="left"/>
      <w:pPr>
        <w:tabs>
          <w:tab w:val="left" w:pos="840"/>
        </w:tabs>
        <w:ind w:left="1010" w:hanging="170"/>
      </w:pPr>
      <w:rPr>
        <w:rFonts w:hint="default" w:ascii="Wingdings" w:hAnsi="Wingdings"/>
      </w:rPr>
    </w:lvl>
    <w:lvl w:ilvl="1" w:tentative="1">
      <w:start w:val="1"/>
      <w:numFmt w:val="bullet"/>
      <w:lvlText w:val=""/>
      <w:lvlJc w:val="left"/>
      <w:pPr>
        <w:tabs>
          <w:tab w:val="left" w:pos="1680"/>
        </w:tabs>
        <w:ind w:left="1680" w:hanging="420"/>
      </w:pPr>
      <w:rPr>
        <w:rFonts w:hint="default" w:ascii="Wingdings" w:hAnsi="Wingdings"/>
      </w:rPr>
    </w:lvl>
    <w:lvl w:ilvl="2" w:tentative="1">
      <w:start w:val="1"/>
      <w:numFmt w:val="bullet"/>
      <w:lvlText w:val=""/>
      <w:lvlJc w:val="left"/>
      <w:pPr>
        <w:tabs>
          <w:tab w:val="left" w:pos="2100"/>
        </w:tabs>
        <w:ind w:left="2100" w:hanging="420"/>
      </w:pPr>
      <w:rPr>
        <w:rFonts w:hint="default" w:ascii="Wingdings" w:hAnsi="Wingdings"/>
      </w:rPr>
    </w:lvl>
    <w:lvl w:ilvl="3" w:tentative="1">
      <w:start w:val="1"/>
      <w:numFmt w:val="bullet"/>
      <w:lvlText w:val=""/>
      <w:lvlJc w:val="left"/>
      <w:pPr>
        <w:tabs>
          <w:tab w:val="left" w:pos="2520"/>
        </w:tabs>
        <w:ind w:left="2520" w:hanging="420"/>
      </w:pPr>
      <w:rPr>
        <w:rFonts w:hint="default" w:ascii="Wingdings" w:hAnsi="Wingdings"/>
      </w:rPr>
    </w:lvl>
    <w:lvl w:ilvl="4" w:tentative="1">
      <w:start w:val="1"/>
      <w:numFmt w:val="bullet"/>
      <w:lvlText w:val=""/>
      <w:lvlJc w:val="left"/>
      <w:pPr>
        <w:tabs>
          <w:tab w:val="left" w:pos="2940"/>
        </w:tabs>
        <w:ind w:left="2940" w:hanging="420"/>
      </w:pPr>
      <w:rPr>
        <w:rFonts w:hint="default" w:ascii="Wingdings" w:hAnsi="Wingdings"/>
      </w:rPr>
    </w:lvl>
    <w:lvl w:ilvl="5" w:tentative="1">
      <w:start w:val="1"/>
      <w:numFmt w:val="bullet"/>
      <w:lvlText w:val=""/>
      <w:lvlJc w:val="left"/>
      <w:pPr>
        <w:tabs>
          <w:tab w:val="left" w:pos="3360"/>
        </w:tabs>
        <w:ind w:left="3360" w:hanging="420"/>
      </w:pPr>
      <w:rPr>
        <w:rFonts w:hint="default" w:ascii="Wingdings" w:hAnsi="Wingdings"/>
      </w:rPr>
    </w:lvl>
    <w:lvl w:ilvl="6" w:tentative="1">
      <w:start w:val="1"/>
      <w:numFmt w:val="bullet"/>
      <w:lvlText w:val=""/>
      <w:lvlJc w:val="left"/>
      <w:pPr>
        <w:tabs>
          <w:tab w:val="left" w:pos="3780"/>
        </w:tabs>
        <w:ind w:left="3780" w:hanging="420"/>
      </w:pPr>
      <w:rPr>
        <w:rFonts w:hint="default" w:ascii="Wingdings" w:hAnsi="Wingdings"/>
      </w:rPr>
    </w:lvl>
    <w:lvl w:ilvl="7" w:tentative="1">
      <w:start w:val="1"/>
      <w:numFmt w:val="bullet"/>
      <w:lvlText w:val=""/>
      <w:lvlJc w:val="left"/>
      <w:pPr>
        <w:tabs>
          <w:tab w:val="left" w:pos="4200"/>
        </w:tabs>
        <w:ind w:left="4200" w:hanging="420"/>
      </w:pPr>
      <w:rPr>
        <w:rFonts w:hint="default" w:ascii="Wingdings" w:hAnsi="Wingdings"/>
      </w:rPr>
    </w:lvl>
    <w:lvl w:ilvl="8" w:tentative="1">
      <w:start w:val="1"/>
      <w:numFmt w:val="bullet"/>
      <w:lvlText w:val=""/>
      <w:lvlJc w:val="left"/>
      <w:pPr>
        <w:tabs>
          <w:tab w:val="left" w:pos="4620"/>
        </w:tabs>
        <w:ind w:left="4620" w:hanging="420"/>
      </w:pPr>
      <w:rPr>
        <w:rFonts w:hint="default" w:ascii="Wingdings" w:hAnsi="Wingdings"/>
      </w:rPr>
    </w:lvl>
  </w:abstractNum>
  <w:abstractNum w:abstractNumId="63308270">
    <w:nsid w:val="03C601EE"/>
    <w:multiLevelType w:val="multilevel"/>
    <w:tmpl w:val="03C601EE"/>
    <w:lvl w:ilvl="0" w:tentative="1">
      <w:start w:val="1"/>
      <w:numFmt w:val="bullet"/>
      <w:lvlText w:val=""/>
      <w:lvlJc w:val="left"/>
      <w:pPr>
        <w:ind w:left="840" w:hanging="420"/>
      </w:pPr>
      <w:rPr>
        <w:rFonts w:hint="default" w:ascii="Symbol" w:hAnsi="Symbol"/>
      </w:rPr>
    </w:lvl>
    <w:lvl w:ilvl="1" w:tentative="1">
      <w:start w:val="1"/>
      <w:numFmt w:val="bullet"/>
      <w:lvlText w:val=""/>
      <w:lvlJc w:val="left"/>
      <w:pPr>
        <w:ind w:left="1260" w:hanging="420"/>
      </w:pPr>
      <w:rPr>
        <w:rFonts w:hint="default" w:ascii="Wingdings" w:hAnsi="Wingdings"/>
      </w:rPr>
    </w:lvl>
    <w:lvl w:ilvl="2" w:tentative="1">
      <w:start w:val="1"/>
      <w:numFmt w:val="bullet"/>
      <w:lvlText w:val=""/>
      <w:lvlJc w:val="left"/>
      <w:pPr>
        <w:ind w:left="1680" w:hanging="420"/>
      </w:pPr>
      <w:rPr>
        <w:rFonts w:hint="default" w:ascii="Wingdings" w:hAnsi="Wingdings"/>
      </w:rPr>
    </w:lvl>
    <w:lvl w:ilvl="3" w:tentative="1">
      <w:start w:val="1"/>
      <w:numFmt w:val="bullet"/>
      <w:lvlText w:val=""/>
      <w:lvlJc w:val="left"/>
      <w:pPr>
        <w:ind w:left="2100" w:hanging="420"/>
      </w:pPr>
      <w:rPr>
        <w:rFonts w:hint="default" w:ascii="Wingdings" w:hAnsi="Wingdings"/>
      </w:rPr>
    </w:lvl>
    <w:lvl w:ilvl="4" w:tentative="1">
      <w:start w:val="1"/>
      <w:numFmt w:val="bullet"/>
      <w:lvlText w:val=""/>
      <w:lvlJc w:val="left"/>
      <w:pPr>
        <w:ind w:left="2520" w:hanging="420"/>
      </w:pPr>
      <w:rPr>
        <w:rFonts w:hint="default" w:ascii="Wingdings" w:hAnsi="Wingdings"/>
      </w:rPr>
    </w:lvl>
    <w:lvl w:ilvl="5" w:tentative="1">
      <w:start w:val="1"/>
      <w:numFmt w:val="bullet"/>
      <w:lvlText w:val=""/>
      <w:lvlJc w:val="left"/>
      <w:pPr>
        <w:ind w:left="2940" w:hanging="420"/>
      </w:pPr>
      <w:rPr>
        <w:rFonts w:hint="default" w:ascii="Wingdings" w:hAnsi="Wingdings"/>
      </w:rPr>
    </w:lvl>
    <w:lvl w:ilvl="6" w:tentative="1">
      <w:start w:val="1"/>
      <w:numFmt w:val="bullet"/>
      <w:lvlText w:val=""/>
      <w:lvlJc w:val="left"/>
      <w:pPr>
        <w:ind w:left="3360" w:hanging="420"/>
      </w:pPr>
      <w:rPr>
        <w:rFonts w:hint="default" w:ascii="Wingdings" w:hAnsi="Wingdings"/>
      </w:rPr>
    </w:lvl>
    <w:lvl w:ilvl="7" w:tentative="1">
      <w:start w:val="1"/>
      <w:numFmt w:val="bullet"/>
      <w:lvlText w:val=""/>
      <w:lvlJc w:val="left"/>
      <w:pPr>
        <w:ind w:left="3780" w:hanging="420"/>
      </w:pPr>
      <w:rPr>
        <w:rFonts w:hint="default" w:ascii="Wingdings" w:hAnsi="Wingdings"/>
      </w:rPr>
    </w:lvl>
    <w:lvl w:ilvl="8" w:tentative="1">
      <w:start w:val="1"/>
      <w:numFmt w:val="bullet"/>
      <w:lvlText w:val=""/>
      <w:lvlJc w:val="left"/>
      <w:pPr>
        <w:ind w:left="4200" w:hanging="420"/>
      </w:pPr>
      <w:rPr>
        <w:rFonts w:hint="default" w:ascii="Wingdings" w:hAnsi="Wingdings"/>
      </w:rPr>
    </w:lvl>
  </w:abstractNum>
  <w:abstractNum w:abstractNumId="1278558276">
    <w:nsid w:val="4C354044"/>
    <w:multiLevelType w:val="multilevel"/>
    <w:tmpl w:val="4C354044"/>
    <w:lvl w:ilvl="0" w:tentative="1">
      <w:start w:val="1"/>
      <w:numFmt w:val="decimal"/>
      <w:lvlText w:val="%1)"/>
      <w:lvlJc w:val="left"/>
      <w:pPr>
        <w:tabs>
          <w:tab w:val="left" w:pos="840"/>
        </w:tabs>
        <w:ind w:left="840" w:hanging="420"/>
      </w:pPr>
      <w:rPr>
        <w:rFonts w:hint="default"/>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373583445">
    <w:nsid w:val="16446E55"/>
    <w:multiLevelType w:val="multilevel"/>
    <w:tmpl w:val="16446E55"/>
    <w:lvl w:ilvl="0" w:tentative="1">
      <w:start w:val="1"/>
      <w:numFmt w:val="bullet"/>
      <w:lvlText w:val=""/>
      <w:lvlJc w:val="left"/>
      <w:pPr>
        <w:ind w:left="1271" w:hanging="420"/>
      </w:pPr>
      <w:rPr>
        <w:rFonts w:hint="default" w:ascii="Wingdings" w:hAnsi="Wingdings"/>
      </w:rPr>
    </w:lvl>
    <w:lvl w:ilvl="1" w:tentative="1">
      <w:start w:val="1"/>
      <w:numFmt w:val="bullet"/>
      <w:lvlText w:val=""/>
      <w:lvlJc w:val="left"/>
      <w:pPr>
        <w:ind w:left="1691" w:hanging="420"/>
      </w:pPr>
      <w:rPr>
        <w:rFonts w:hint="default" w:ascii="Wingdings" w:hAnsi="Wingdings"/>
      </w:rPr>
    </w:lvl>
    <w:lvl w:ilvl="2" w:tentative="1">
      <w:start w:val="1"/>
      <w:numFmt w:val="bullet"/>
      <w:lvlText w:val=""/>
      <w:lvlJc w:val="left"/>
      <w:pPr>
        <w:ind w:left="2111" w:hanging="420"/>
      </w:pPr>
      <w:rPr>
        <w:rFonts w:hint="default" w:ascii="Wingdings" w:hAnsi="Wingdings"/>
      </w:rPr>
    </w:lvl>
    <w:lvl w:ilvl="3" w:tentative="1">
      <w:start w:val="1"/>
      <w:numFmt w:val="bullet"/>
      <w:lvlText w:val=""/>
      <w:lvlJc w:val="left"/>
      <w:pPr>
        <w:ind w:left="2531" w:hanging="420"/>
      </w:pPr>
      <w:rPr>
        <w:rFonts w:hint="default" w:ascii="Wingdings" w:hAnsi="Wingdings"/>
      </w:rPr>
    </w:lvl>
    <w:lvl w:ilvl="4" w:tentative="1">
      <w:start w:val="1"/>
      <w:numFmt w:val="bullet"/>
      <w:lvlText w:val=""/>
      <w:lvlJc w:val="left"/>
      <w:pPr>
        <w:ind w:left="2951" w:hanging="420"/>
      </w:pPr>
      <w:rPr>
        <w:rFonts w:hint="default" w:ascii="Wingdings" w:hAnsi="Wingdings"/>
      </w:rPr>
    </w:lvl>
    <w:lvl w:ilvl="5" w:tentative="1">
      <w:start w:val="1"/>
      <w:numFmt w:val="bullet"/>
      <w:lvlText w:val=""/>
      <w:lvlJc w:val="left"/>
      <w:pPr>
        <w:ind w:left="3371" w:hanging="420"/>
      </w:pPr>
      <w:rPr>
        <w:rFonts w:hint="default" w:ascii="Wingdings" w:hAnsi="Wingdings"/>
      </w:rPr>
    </w:lvl>
    <w:lvl w:ilvl="6" w:tentative="1">
      <w:start w:val="1"/>
      <w:numFmt w:val="bullet"/>
      <w:lvlText w:val=""/>
      <w:lvlJc w:val="left"/>
      <w:pPr>
        <w:ind w:left="3791" w:hanging="420"/>
      </w:pPr>
      <w:rPr>
        <w:rFonts w:hint="default" w:ascii="Wingdings" w:hAnsi="Wingdings"/>
      </w:rPr>
    </w:lvl>
    <w:lvl w:ilvl="7" w:tentative="1">
      <w:start w:val="1"/>
      <w:numFmt w:val="bullet"/>
      <w:lvlText w:val=""/>
      <w:lvlJc w:val="left"/>
      <w:pPr>
        <w:ind w:left="4211" w:hanging="420"/>
      </w:pPr>
      <w:rPr>
        <w:rFonts w:hint="default" w:ascii="Wingdings" w:hAnsi="Wingdings"/>
      </w:rPr>
    </w:lvl>
    <w:lvl w:ilvl="8" w:tentative="1">
      <w:start w:val="1"/>
      <w:numFmt w:val="bullet"/>
      <w:lvlText w:val=""/>
      <w:lvlJc w:val="left"/>
      <w:pPr>
        <w:ind w:left="4631" w:hanging="420"/>
      </w:pPr>
      <w:rPr>
        <w:rFonts w:hint="default" w:ascii="Wingdings" w:hAnsi="Wingdings"/>
      </w:rPr>
    </w:lvl>
  </w:abstractNum>
  <w:abstractNum w:abstractNumId="167869501">
    <w:nsid w:val="0A017C3D"/>
    <w:multiLevelType w:val="multilevel"/>
    <w:tmpl w:val="0A017C3D"/>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271356224">
    <w:nsid w:val="4BC75B40"/>
    <w:multiLevelType w:val="multilevel"/>
    <w:tmpl w:val="4BC75B40"/>
    <w:lvl w:ilvl="0" w:tentative="1">
      <w:start w:val="1"/>
      <w:numFmt w:val="bullet"/>
      <w:lvlText w:val=""/>
      <w:lvlJc w:val="left"/>
      <w:pPr>
        <w:ind w:left="420" w:hanging="420"/>
      </w:pPr>
      <w:rPr>
        <w:rFonts w:hint="default" w:ascii="Symbol" w:hAnsi="Symbol"/>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971205116">
    <w:nsid w:val="39E369FC"/>
    <w:multiLevelType w:val="multilevel"/>
    <w:tmpl w:val="39E369FC"/>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420102815">
    <w:nsid w:val="190A429F"/>
    <w:multiLevelType w:val="multilevel"/>
    <w:tmpl w:val="190A429F"/>
    <w:lvl w:ilvl="0" w:tentative="1">
      <w:start w:val="1"/>
      <w:numFmt w:val="japaneseCounting"/>
      <w:lvlText w:val="%1、"/>
      <w:lvlJc w:val="left"/>
      <w:pPr>
        <w:ind w:left="480" w:hanging="480"/>
      </w:pPr>
      <w:rPr>
        <w:rFonts w:hint="default" w:hAnsi="宋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56633963">
    <w:nsid w:val="2D19516B"/>
    <w:multiLevelType w:val="multilevel"/>
    <w:tmpl w:val="2D19516B"/>
    <w:lvl w:ilvl="0" w:tentative="1">
      <w:start w:val="1"/>
      <w:numFmt w:val="bullet"/>
      <w:lvlText w:val=""/>
      <w:lvlJc w:val="left"/>
      <w:pPr>
        <w:tabs>
          <w:tab w:val="left" w:pos="170"/>
        </w:tabs>
        <w:ind w:left="170" w:hanging="170"/>
      </w:pPr>
      <w:rPr>
        <w:rFonts w:hint="default" w:ascii="Wingdings" w:hAnsi="Wingdings"/>
        <w:sz w:val="15"/>
        <w:szCs w:val="15"/>
      </w:rPr>
    </w:lvl>
    <w:lvl w:ilvl="1" w:tentative="1">
      <w:start w:val="1"/>
      <w:numFmt w:val="bullet"/>
      <w:lvlText w:val=""/>
      <w:lvlJc w:val="left"/>
      <w:pPr>
        <w:tabs>
          <w:tab w:val="left" w:pos="590"/>
        </w:tabs>
        <w:ind w:left="590" w:hanging="170"/>
      </w:pPr>
      <w:rPr>
        <w:rFonts w:hint="default" w:ascii="Wingdings" w:hAnsi="Wingdings"/>
        <w:sz w:val="15"/>
        <w:szCs w:val="15"/>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abstractNum w:abstractNumId="79646837">
    <w:nsid w:val="04BF5075"/>
    <w:multiLevelType w:val="multilevel"/>
    <w:tmpl w:val="04BF5075"/>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420183613">
    <w:nsid w:val="190B7E3D"/>
    <w:multiLevelType w:val="multilevel"/>
    <w:tmpl w:val="190B7E3D"/>
    <w:lvl w:ilvl="0" w:tentative="1">
      <w:start w:val="1"/>
      <w:numFmt w:val="bullet"/>
      <w:lvlText w:val=""/>
      <w:lvlJc w:val="left"/>
      <w:pPr>
        <w:tabs>
          <w:tab w:val="left" w:pos="170"/>
        </w:tabs>
        <w:ind w:left="170" w:hanging="170"/>
      </w:pPr>
      <w:rPr>
        <w:rFonts w:hint="default" w:ascii="Wingdings" w:hAnsi="Wingdings"/>
        <w:sz w:val="15"/>
        <w:szCs w:val="15"/>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abstractNum w:abstractNumId="1220358651">
    <w:nsid w:val="48BD31FB"/>
    <w:multiLevelType w:val="multilevel"/>
    <w:tmpl w:val="48BD31FB"/>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58416546">
    <w:nsid w:val="392046A2"/>
    <w:multiLevelType w:val="multilevel"/>
    <w:tmpl w:val="392046A2"/>
    <w:lvl w:ilvl="0" w:tentative="1">
      <w:start w:val="1"/>
      <w:numFmt w:val="decimal"/>
      <w:lvlText w:val="%1."/>
      <w:lvlJc w:val="left"/>
      <w:pPr>
        <w:ind w:left="780" w:hanging="420"/>
      </w:pPr>
      <w:rPr>
        <w:rFonts w:cs="Times New Roman"/>
      </w:rPr>
    </w:lvl>
    <w:lvl w:ilvl="1" w:tentative="1">
      <w:start w:val="1"/>
      <w:numFmt w:val="lowerLetter"/>
      <w:lvlText w:val="%2)"/>
      <w:lvlJc w:val="left"/>
      <w:pPr>
        <w:ind w:left="1200" w:hanging="420"/>
      </w:pPr>
      <w:rPr>
        <w:rFonts w:cs="Times New Roman"/>
      </w:rPr>
    </w:lvl>
    <w:lvl w:ilvl="2" w:tentative="1">
      <w:start w:val="1"/>
      <w:numFmt w:val="lowerRoman"/>
      <w:lvlText w:val="%3."/>
      <w:lvlJc w:val="right"/>
      <w:pPr>
        <w:ind w:left="1620" w:hanging="420"/>
      </w:pPr>
      <w:rPr>
        <w:rFonts w:cs="Times New Roman"/>
      </w:rPr>
    </w:lvl>
    <w:lvl w:ilvl="3" w:tentative="1">
      <w:start w:val="1"/>
      <w:numFmt w:val="decimal"/>
      <w:lvlText w:val="%4."/>
      <w:lvlJc w:val="left"/>
      <w:pPr>
        <w:ind w:left="2040" w:hanging="420"/>
      </w:pPr>
      <w:rPr>
        <w:rFonts w:cs="Times New Roman"/>
      </w:rPr>
    </w:lvl>
    <w:lvl w:ilvl="4" w:tentative="1">
      <w:start w:val="1"/>
      <w:numFmt w:val="lowerLetter"/>
      <w:lvlText w:val="%5)"/>
      <w:lvlJc w:val="left"/>
      <w:pPr>
        <w:ind w:left="2460" w:hanging="420"/>
      </w:pPr>
      <w:rPr>
        <w:rFonts w:cs="Times New Roman"/>
      </w:rPr>
    </w:lvl>
    <w:lvl w:ilvl="5" w:tentative="1">
      <w:start w:val="1"/>
      <w:numFmt w:val="lowerRoman"/>
      <w:lvlText w:val="%6."/>
      <w:lvlJc w:val="right"/>
      <w:pPr>
        <w:ind w:left="2880" w:hanging="420"/>
      </w:pPr>
      <w:rPr>
        <w:rFonts w:cs="Times New Roman"/>
      </w:rPr>
    </w:lvl>
    <w:lvl w:ilvl="6" w:tentative="1">
      <w:start w:val="1"/>
      <w:numFmt w:val="decimal"/>
      <w:lvlText w:val="%7."/>
      <w:lvlJc w:val="left"/>
      <w:pPr>
        <w:ind w:left="3300" w:hanging="420"/>
      </w:pPr>
      <w:rPr>
        <w:rFonts w:cs="Times New Roman"/>
      </w:rPr>
    </w:lvl>
    <w:lvl w:ilvl="7" w:tentative="1">
      <w:start w:val="1"/>
      <w:numFmt w:val="lowerLetter"/>
      <w:lvlText w:val="%8)"/>
      <w:lvlJc w:val="left"/>
      <w:pPr>
        <w:ind w:left="3720" w:hanging="420"/>
      </w:pPr>
      <w:rPr>
        <w:rFonts w:cs="Times New Roman"/>
      </w:rPr>
    </w:lvl>
    <w:lvl w:ilvl="8" w:tentative="1">
      <w:start w:val="1"/>
      <w:numFmt w:val="lowerRoman"/>
      <w:lvlText w:val="%9."/>
      <w:lvlJc w:val="right"/>
      <w:pPr>
        <w:ind w:left="4140" w:hanging="420"/>
      </w:pPr>
      <w:rPr>
        <w:rFonts w:cs="Times New Roman"/>
      </w:rPr>
    </w:lvl>
  </w:abstractNum>
  <w:abstractNum w:abstractNumId="68619369">
    <w:nsid w:val="04170C69"/>
    <w:multiLevelType w:val="multilevel"/>
    <w:tmpl w:val="04170C69"/>
    <w:lvl w:ilvl="0" w:tentative="1">
      <w:start w:val="1"/>
      <w:numFmt w:val="decimal"/>
      <w:lvlText w:val="%1."/>
      <w:lvlJc w:val="left"/>
      <w:pPr>
        <w:ind w:left="360" w:hanging="36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549874329">
    <w:nsid w:val="5C613499"/>
    <w:multiLevelType w:val="multilevel"/>
    <w:tmpl w:val="5C613499"/>
    <w:lvl w:ilvl="0" w:tentative="1">
      <w:start w:val="1"/>
      <w:numFmt w:val="decimal"/>
      <w:lvlText w:val="%1."/>
      <w:lvlJc w:val="left"/>
      <w:pPr>
        <w:tabs>
          <w:tab w:val="left" w:pos="360"/>
        </w:tabs>
        <w:ind w:left="360" w:hanging="360"/>
      </w:pPr>
      <w:rPr>
        <w:kern w:val="0"/>
        <w:position w:val="0"/>
        <w:sz w:val="24"/>
        <w:szCs w:val="24"/>
      </w:rPr>
    </w:lvl>
    <w:lvl w:ilvl="1" w:tentative="1">
      <w:start w:val="1"/>
      <w:numFmt w:val="lowerLetter"/>
      <w:lvlText w:val="%2)"/>
      <w:lvlJc w:val="left"/>
      <w:pPr>
        <w:tabs>
          <w:tab w:val="left" w:pos="840"/>
        </w:tabs>
        <w:ind w:left="840" w:hanging="420"/>
      </w:pPr>
      <w:rPr>
        <w:kern w:val="0"/>
        <w:position w:val="0"/>
        <w:sz w:val="24"/>
        <w:szCs w:val="24"/>
      </w:rPr>
    </w:lvl>
    <w:lvl w:ilvl="2" w:tentative="1">
      <w:start w:val="1"/>
      <w:numFmt w:val="lowerRoman"/>
      <w:lvlText w:val="%3."/>
      <w:lvlJc w:val="left"/>
      <w:pPr>
        <w:tabs>
          <w:tab w:val="left" w:pos="1260"/>
        </w:tabs>
        <w:ind w:left="1260" w:hanging="536"/>
      </w:pPr>
      <w:rPr>
        <w:kern w:val="0"/>
        <w:position w:val="0"/>
        <w:sz w:val="24"/>
        <w:szCs w:val="24"/>
      </w:rPr>
    </w:lvl>
    <w:lvl w:ilvl="3" w:tentative="1">
      <w:start w:val="1"/>
      <w:numFmt w:val="decimal"/>
      <w:lvlText w:val="%4."/>
      <w:lvlJc w:val="left"/>
      <w:pPr>
        <w:tabs>
          <w:tab w:val="left" w:pos="1680"/>
        </w:tabs>
        <w:ind w:left="1680" w:hanging="420"/>
      </w:pPr>
      <w:rPr>
        <w:kern w:val="0"/>
        <w:position w:val="0"/>
        <w:sz w:val="24"/>
        <w:szCs w:val="24"/>
      </w:rPr>
    </w:lvl>
    <w:lvl w:ilvl="4" w:tentative="1">
      <w:start w:val="1"/>
      <w:numFmt w:val="lowerLetter"/>
      <w:lvlText w:val="%5)"/>
      <w:lvlJc w:val="left"/>
      <w:pPr>
        <w:tabs>
          <w:tab w:val="left" w:pos="2100"/>
        </w:tabs>
        <w:ind w:left="2100" w:hanging="420"/>
      </w:pPr>
      <w:rPr>
        <w:kern w:val="0"/>
        <w:position w:val="0"/>
        <w:sz w:val="24"/>
        <w:szCs w:val="24"/>
      </w:rPr>
    </w:lvl>
    <w:lvl w:ilvl="5" w:tentative="1">
      <w:start w:val="1"/>
      <w:numFmt w:val="lowerRoman"/>
      <w:lvlText w:val="%6."/>
      <w:lvlJc w:val="left"/>
      <w:pPr>
        <w:tabs>
          <w:tab w:val="left" w:pos="2520"/>
        </w:tabs>
        <w:ind w:left="2520" w:hanging="536"/>
      </w:pPr>
      <w:rPr>
        <w:kern w:val="0"/>
        <w:position w:val="0"/>
        <w:sz w:val="24"/>
        <w:szCs w:val="24"/>
      </w:rPr>
    </w:lvl>
    <w:lvl w:ilvl="6" w:tentative="1">
      <w:start w:val="1"/>
      <w:numFmt w:val="decimal"/>
      <w:lvlText w:val="%7."/>
      <w:lvlJc w:val="left"/>
      <w:pPr>
        <w:tabs>
          <w:tab w:val="left" w:pos="2940"/>
        </w:tabs>
        <w:ind w:left="2940" w:hanging="420"/>
      </w:pPr>
      <w:rPr>
        <w:kern w:val="0"/>
        <w:position w:val="0"/>
        <w:sz w:val="24"/>
        <w:szCs w:val="24"/>
      </w:rPr>
    </w:lvl>
    <w:lvl w:ilvl="7" w:tentative="1">
      <w:start w:val="1"/>
      <w:numFmt w:val="lowerLetter"/>
      <w:lvlText w:val="%8)"/>
      <w:lvlJc w:val="left"/>
      <w:pPr>
        <w:tabs>
          <w:tab w:val="left" w:pos="3360"/>
        </w:tabs>
        <w:ind w:left="3360" w:hanging="420"/>
      </w:pPr>
      <w:rPr>
        <w:kern w:val="0"/>
        <w:position w:val="0"/>
        <w:sz w:val="24"/>
        <w:szCs w:val="24"/>
      </w:rPr>
    </w:lvl>
    <w:lvl w:ilvl="8" w:tentative="1">
      <w:start w:val="1"/>
      <w:numFmt w:val="lowerRoman"/>
      <w:lvlText w:val="%9."/>
      <w:lvlJc w:val="left"/>
      <w:pPr>
        <w:tabs>
          <w:tab w:val="left" w:pos="3780"/>
        </w:tabs>
        <w:ind w:left="3780" w:hanging="536"/>
      </w:pPr>
      <w:rPr>
        <w:kern w:val="0"/>
        <w:position w:val="0"/>
        <w:sz w:val="24"/>
        <w:szCs w:val="24"/>
      </w:rPr>
    </w:lvl>
  </w:abstractNum>
  <w:abstractNum w:abstractNumId="1050762951">
    <w:nsid w:val="3EA15EC7"/>
    <w:multiLevelType w:val="multilevel"/>
    <w:tmpl w:val="3EA15EC7"/>
    <w:lvl w:ilvl="0" w:tentative="1">
      <w:start w:val="1"/>
      <w:numFmt w:val="bullet"/>
      <w:lvlText w:val=""/>
      <w:lvlJc w:val="left"/>
      <w:pPr>
        <w:ind w:left="840" w:hanging="420"/>
      </w:pPr>
      <w:rPr>
        <w:rFonts w:hint="default" w:ascii="Symbol" w:hAnsi="Symbol"/>
      </w:rPr>
    </w:lvl>
    <w:lvl w:ilvl="1" w:tentative="1">
      <w:start w:val="1"/>
      <w:numFmt w:val="bullet"/>
      <w:lvlText w:val=""/>
      <w:lvlJc w:val="left"/>
      <w:pPr>
        <w:ind w:left="1260" w:hanging="420"/>
      </w:pPr>
      <w:rPr>
        <w:rFonts w:hint="default" w:ascii="Wingdings" w:hAnsi="Wingdings"/>
      </w:rPr>
    </w:lvl>
    <w:lvl w:ilvl="2" w:tentative="1">
      <w:start w:val="1"/>
      <w:numFmt w:val="bullet"/>
      <w:lvlText w:val=""/>
      <w:lvlJc w:val="left"/>
      <w:pPr>
        <w:ind w:left="1680" w:hanging="420"/>
      </w:pPr>
      <w:rPr>
        <w:rFonts w:hint="default" w:ascii="Wingdings" w:hAnsi="Wingdings"/>
      </w:rPr>
    </w:lvl>
    <w:lvl w:ilvl="3" w:tentative="1">
      <w:start w:val="1"/>
      <w:numFmt w:val="bullet"/>
      <w:lvlText w:val=""/>
      <w:lvlJc w:val="left"/>
      <w:pPr>
        <w:ind w:left="2100" w:hanging="420"/>
      </w:pPr>
      <w:rPr>
        <w:rFonts w:hint="default" w:ascii="Wingdings" w:hAnsi="Wingdings"/>
      </w:rPr>
    </w:lvl>
    <w:lvl w:ilvl="4" w:tentative="1">
      <w:start w:val="1"/>
      <w:numFmt w:val="bullet"/>
      <w:lvlText w:val=""/>
      <w:lvlJc w:val="left"/>
      <w:pPr>
        <w:ind w:left="2520" w:hanging="420"/>
      </w:pPr>
      <w:rPr>
        <w:rFonts w:hint="default" w:ascii="Wingdings" w:hAnsi="Wingdings"/>
      </w:rPr>
    </w:lvl>
    <w:lvl w:ilvl="5" w:tentative="1">
      <w:start w:val="1"/>
      <w:numFmt w:val="bullet"/>
      <w:lvlText w:val=""/>
      <w:lvlJc w:val="left"/>
      <w:pPr>
        <w:ind w:left="2940" w:hanging="420"/>
      </w:pPr>
      <w:rPr>
        <w:rFonts w:hint="default" w:ascii="Wingdings" w:hAnsi="Wingdings"/>
      </w:rPr>
    </w:lvl>
    <w:lvl w:ilvl="6" w:tentative="1">
      <w:start w:val="1"/>
      <w:numFmt w:val="bullet"/>
      <w:lvlText w:val=""/>
      <w:lvlJc w:val="left"/>
      <w:pPr>
        <w:ind w:left="3360" w:hanging="420"/>
      </w:pPr>
      <w:rPr>
        <w:rFonts w:hint="default" w:ascii="Wingdings" w:hAnsi="Wingdings"/>
      </w:rPr>
    </w:lvl>
    <w:lvl w:ilvl="7" w:tentative="1">
      <w:start w:val="1"/>
      <w:numFmt w:val="bullet"/>
      <w:lvlText w:val=""/>
      <w:lvlJc w:val="left"/>
      <w:pPr>
        <w:ind w:left="3780" w:hanging="420"/>
      </w:pPr>
      <w:rPr>
        <w:rFonts w:hint="default" w:ascii="Wingdings" w:hAnsi="Wingdings"/>
      </w:rPr>
    </w:lvl>
    <w:lvl w:ilvl="8" w:tentative="1">
      <w:start w:val="1"/>
      <w:numFmt w:val="bullet"/>
      <w:lvlText w:val=""/>
      <w:lvlJc w:val="left"/>
      <w:pPr>
        <w:ind w:left="4200" w:hanging="420"/>
      </w:pPr>
      <w:rPr>
        <w:rFonts w:hint="default" w:ascii="Wingdings" w:hAnsi="Wingdings"/>
      </w:rPr>
    </w:lvl>
  </w:abstractNum>
  <w:num w:numId="1">
    <w:abstractNumId w:val="420102815"/>
  </w:num>
  <w:num w:numId="2">
    <w:abstractNumId w:val="971205116"/>
  </w:num>
  <w:num w:numId="3">
    <w:abstractNumId w:val="1271356224"/>
  </w:num>
  <w:num w:numId="4">
    <w:abstractNumId w:val="167869501"/>
  </w:num>
  <w:num w:numId="5">
    <w:abstractNumId w:val="756633963"/>
  </w:num>
  <w:num w:numId="6">
    <w:abstractNumId w:val="79646837"/>
  </w:num>
  <w:num w:numId="7">
    <w:abstractNumId w:val="420183613"/>
  </w:num>
  <w:num w:numId="8">
    <w:abstractNumId w:val="1220358651"/>
  </w:num>
  <w:num w:numId="9">
    <w:abstractNumId w:val="958416546"/>
  </w:num>
  <w:num w:numId="10">
    <w:abstractNumId w:val="68619369"/>
  </w:num>
  <w:num w:numId="11">
    <w:abstractNumId w:val="1549874329"/>
  </w:num>
  <w:num w:numId="12">
    <w:abstractNumId w:val="1050762951"/>
  </w:num>
  <w:num w:numId="13">
    <w:abstractNumId w:val="591428323"/>
  </w:num>
  <w:num w:numId="14">
    <w:abstractNumId w:val="369839816"/>
  </w:num>
  <w:num w:numId="15">
    <w:abstractNumId w:val="63308270"/>
  </w:num>
  <w:num w:numId="16">
    <w:abstractNumId w:val="1278558276"/>
  </w:num>
  <w:num w:numId="17">
    <w:abstractNumId w:val="373583445"/>
  </w:num>
  <w:num w:numId="18">
    <w:abstractNumId w:val="17213933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A24"/>
    <w:rsid w:val="00002CA9"/>
    <w:rsid w:val="00010F30"/>
    <w:rsid w:val="0001276E"/>
    <w:rsid w:val="00013ABC"/>
    <w:rsid w:val="00016BBE"/>
    <w:rsid w:val="00016D3E"/>
    <w:rsid w:val="00016E6D"/>
    <w:rsid w:val="00022536"/>
    <w:rsid w:val="0002568B"/>
    <w:rsid w:val="00026E3B"/>
    <w:rsid w:val="00027431"/>
    <w:rsid w:val="000316F2"/>
    <w:rsid w:val="00032870"/>
    <w:rsid w:val="000331D8"/>
    <w:rsid w:val="00037B4E"/>
    <w:rsid w:val="00040E5E"/>
    <w:rsid w:val="0004149C"/>
    <w:rsid w:val="00041781"/>
    <w:rsid w:val="000446D1"/>
    <w:rsid w:val="00045635"/>
    <w:rsid w:val="0005028D"/>
    <w:rsid w:val="000523F6"/>
    <w:rsid w:val="000548BF"/>
    <w:rsid w:val="00055651"/>
    <w:rsid w:val="00056585"/>
    <w:rsid w:val="000611D8"/>
    <w:rsid w:val="000614F6"/>
    <w:rsid w:val="00064173"/>
    <w:rsid w:val="00070767"/>
    <w:rsid w:val="00071474"/>
    <w:rsid w:val="00072B88"/>
    <w:rsid w:val="00075DB9"/>
    <w:rsid w:val="00076F2D"/>
    <w:rsid w:val="000775B0"/>
    <w:rsid w:val="00077766"/>
    <w:rsid w:val="000801BD"/>
    <w:rsid w:val="00083F27"/>
    <w:rsid w:val="00085299"/>
    <w:rsid w:val="00090143"/>
    <w:rsid w:val="00090FF8"/>
    <w:rsid w:val="00091524"/>
    <w:rsid w:val="00092B9E"/>
    <w:rsid w:val="00092E78"/>
    <w:rsid w:val="00093771"/>
    <w:rsid w:val="0009444C"/>
    <w:rsid w:val="00094F13"/>
    <w:rsid w:val="000974AD"/>
    <w:rsid w:val="000A3494"/>
    <w:rsid w:val="000A425A"/>
    <w:rsid w:val="000A6D34"/>
    <w:rsid w:val="000B0B38"/>
    <w:rsid w:val="000B105E"/>
    <w:rsid w:val="000B2A20"/>
    <w:rsid w:val="000B454B"/>
    <w:rsid w:val="000B665D"/>
    <w:rsid w:val="000B6CD6"/>
    <w:rsid w:val="000C35AE"/>
    <w:rsid w:val="000D0A39"/>
    <w:rsid w:val="000D4BCF"/>
    <w:rsid w:val="000D5B19"/>
    <w:rsid w:val="000E36C8"/>
    <w:rsid w:val="000F1F60"/>
    <w:rsid w:val="000F2A0A"/>
    <w:rsid w:val="000F4A96"/>
    <w:rsid w:val="000F630B"/>
    <w:rsid w:val="000F63E3"/>
    <w:rsid w:val="000F647C"/>
    <w:rsid w:val="000F6AF1"/>
    <w:rsid w:val="000F7A71"/>
    <w:rsid w:val="00100019"/>
    <w:rsid w:val="0010097B"/>
    <w:rsid w:val="001048EB"/>
    <w:rsid w:val="00111D25"/>
    <w:rsid w:val="00111FDE"/>
    <w:rsid w:val="001122F6"/>
    <w:rsid w:val="001144DE"/>
    <w:rsid w:val="00115196"/>
    <w:rsid w:val="00115DB2"/>
    <w:rsid w:val="0012001A"/>
    <w:rsid w:val="001201AE"/>
    <w:rsid w:val="001201C3"/>
    <w:rsid w:val="00121305"/>
    <w:rsid w:val="00124314"/>
    <w:rsid w:val="00127665"/>
    <w:rsid w:val="001319A5"/>
    <w:rsid w:val="00131B62"/>
    <w:rsid w:val="001336EE"/>
    <w:rsid w:val="00133955"/>
    <w:rsid w:val="001369C6"/>
    <w:rsid w:val="001369EC"/>
    <w:rsid w:val="00137CAA"/>
    <w:rsid w:val="00140713"/>
    <w:rsid w:val="0014515C"/>
    <w:rsid w:val="00147642"/>
    <w:rsid w:val="001506EE"/>
    <w:rsid w:val="0015071A"/>
    <w:rsid w:val="0015136B"/>
    <w:rsid w:val="00151677"/>
    <w:rsid w:val="00153DC8"/>
    <w:rsid w:val="00154315"/>
    <w:rsid w:val="001557DE"/>
    <w:rsid w:val="00156677"/>
    <w:rsid w:val="00156B0E"/>
    <w:rsid w:val="00163FE0"/>
    <w:rsid w:val="00166973"/>
    <w:rsid w:val="00167C5F"/>
    <w:rsid w:val="001700D4"/>
    <w:rsid w:val="0017184F"/>
    <w:rsid w:val="001718D8"/>
    <w:rsid w:val="001722AA"/>
    <w:rsid w:val="00172A86"/>
    <w:rsid w:val="00172B9F"/>
    <w:rsid w:val="001732E5"/>
    <w:rsid w:val="00174E10"/>
    <w:rsid w:val="00174FFE"/>
    <w:rsid w:val="00175D6A"/>
    <w:rsid w:val="00181E35"/>
    <w:rsid w:val="00182AD2"/>
    <w:rsid w:val="001837F3"/>
    <w:rsid w:val="00187D4E"/>
    <w:rsid w:val="001913C9"/>
    <w:rsid w:val="00192137"/>
    <w:rsid w:val="00193854"/>
    <w:rsid w:val="00193F22"/>
    <w:rsid w:val="00195E59"/>
    <w:rsid w:val="001975D5"/>
    <w:rsid w:val="001A031E"/>
    <w:rsid w:val="001A05B6"/>
    <w:rsid w:val="001A3F5F"/>
    <w:rsid w:val="001B0D28"/>
    <w:rsid w:val="001B10E1"/>
    <w:rsid w:val="001B3A54"/>
    <w:rsid w:val="001B452F"/>
    <w:rsid w:val="001B458C"/>
    <w:rsid w:val="001C045F"/>
    <w:rsid w:val="001C53FE"/>
    <w:rsid w:val="001C5FFE"/>
    <w:rsid w:val="001D077B"/>
    <w:rsid w:val="001D3A24"/>
    <w:rsid w:val="001D6FB6"/>
    <w:rsid w:val="001D7767"/>
    <w:rsid w:val="001E00DB"/>
    <w:rsid w:val="001E07E8"/>
    <w:rsid w:val="001E123F"/>
    <w:rsid w:val="001E2FF2"/>
    <w:rsid w:val="001E57E2"/>
    <w:rsid w:val="001E6577"/>
    <w:rsid w:val="001E694A"/>
    <w:rsid w:val="001F091D"/>
    <w:rsid w:val="001F10E5"/>
    <w:rsid w:val="001F1CAB"/>
    <w:rsid w:val="001F1FDB"/>
    <w:rsid w:val="001F3531"/>
    <w:rsid w:val="001F3A8B"/>
    <w:rsid w:val="001F4F76"/>
    <w:rsid w:val="001F4FF6"/>
    <w:rsid w:val="001F5B6B"/>
    <w:rsid w:val="001F7B96"/>
    <w:rsid w:val="001F7CBF"/>
    <w:rsid w:val="001F7CDC"/>
    <w:rsid w:val="0020167D"/>
    <w:rsid w:val="00201920"/>
    <w:rsid w:val="00203022"/>
    <w:rsid w:val="00203378"/>
    <w:rsid w:val="002039C0"/>
    <w:rsid w:val="0020543E"/>
    <w:rsid w:val="00205BC7"/>
    <w:rsid w:val="00210599"/>
    <w:rsid w:val="00210850"/>
    <w:rsid w:val="00210DB2"/>
    <w:rsid w:val="00210FF3"/>
    <w:rsid w:val="002118CE"/>
    <w:rsid w:val="00212CC2"/>
    <w:rsid w:val="00216AC6"/>
    <w:rsid w:val="002207B7"/>
    <w:rsid w:val="002211F2"/>
    <w:rsid w:val="00222195"/>
    <w:rsid w:val="00222480"/>
    <w:rsid w:val="00222D91"/>
    <w:rsid w:val="00223DE7"/>
    <w:rsid w:val="002272AE"/>
    <w:rsid w:val="002272DE"/>
    <w:rsid w:val="00231B19"/>
    <w:rsid w:val="002322FE"/>
    <w:rsid w:val="00235501"/>
    <w:rsid w:val="002356BE"/>
    <w:rsid w:val="00237CF5"/>
    <w:rsid w:val="0024064A"/>
    <w:rsid w:val="002419F6"/>
    <w:rsid w:val="0024331C"/>
    <w:rsid w:val="002433AD"/>
    <w:rsid w:val="002434DB"/>
    <w:rsid w:val="00243F20"/>
    <w:rsid w:val="00244FFC"/>
    <w:rsid w:val="002462F4"/>
    <w:rsid w:val="00246D6C"/>
    <w:rsid w:val="00250012"/>
    <w:rsid w:val="00257F62"/>
    <w:rsid w:val="002609C3"/>
    <w:rsid w:val="0026200D"/>
    <w:rsid w:val="00264F48"/>
    <w:rsid w:val="00265D5F"/>
    <w:rsid w:val="0027000B"/>
    <w:rsid w:val="002704B3"/>
    <w:rsid w:val="00272753"/>
    <w:rsid w:val="00276D0A"/>
    <w:rsid w:val="00290EEB"/>
    <w:rsid w:val="00292144"/>
    <w:rsid w:val="002924DE"/>
    <w:rsid w:val="00293229"/>
    <w:rsid w:val="002935F2"/>
    <w:rsid w:val="00296F1C"/>
    <w:rsid w:val="002A07D5"/>
    <w:rsid w:val="002A0885"/>
    <w:rsid w:val="002A471B"/>
    <w:rsid w:val="002A6821"/>
    <w:rsid w:val="002A70C2"/>
    <w:rsid w:val="002B22B0"/>
    <w:rsid w:val="002B240E"/>
    <w:rsid w:val="002B37AD"/>
    <w:rsid w:val="002B4F68"/>
    <w:rsid w:val="002B7E8C"/>
    <w:rsid w:val="002C0B46"/>
    <w:rsid w:val="002C0DF3"/>
    <w:rsid w:val="002D19A2"/>
    <w:rsid w:val="002D485C"/>
    <w:rsid w:val="002D53FE"/>
    <w:rsid w:val="002D591B"/>
    <w:rsid w:val="002D66DC"/>
    <w:rsid w:val="002D6839"/>
    <w:rsid w:val="002E5624"/>
    <w:rsid w:val="002E5835"/>
    <w:rsid w:val="002E63F8"/>
    <w:rsid w:val="002F1DCB"/>
    <w:rsid w:val="002F2B59"/>
    <w:rsid w:val="002F306C"/>
    <w:rsid w:val="002F780E"/>
    <w:rsid w:val="00300B10"/>
    <w:rsid w:val="0030117C"/>
    <w:rsid w:val="00302E12"/>
    <w:rsid w:val="003030B1"/>
    <w:rsid w:val="00303733"/>
    <w:rsid w:val="00306124"/>
    <w:rsid w:val="0030645B"/>
    <w:rsid w:val="003069D2"/>
    <w:rsid w:val="00312704"/>
    <w:rsid w:val="00313E51"/>
    <w:rsid w:val="00321674"/>
    <w:rsid w:val="00321D4F"/>
    <w:rsid w:val="00325828"/>
    <w:rsid w:val="00325C5E"/>
    <w:rsid w:val="003270FB"/>
    <w:rsid w:val="0032712A"/>
    <w:rsid w:val="00331B55"/>
    <w:rsid w:val="00336085"/>
    <w:rsid w:val="00336C15"/>
    <w:rsid w:val="003376C8"/>
    <w:rsid w:val="003442DC"/>
    <w:rsid w:val="00346944"/>
    <w:rsid w:val="00346F9B"/>
    <w:rsid w:val="00350004"/>
    <w:rsid w:val="0035083E"/>
    <w:rsid w:val="00351CE2"/>
    <w:rsid w:val="0035438E"/>
    <w:rsid w:val="003555C5"/>
    <w:rsid w:val="00360B1B"/>
    <w:rsid w:val="003647A4"/>
    <w:rsid w:val="00364968"/>
    <w:rsid w:val="00365C20"/>
    <w:rsid w:val="00372B19"/>
    <w:rsid w:val="00373ECD"/>
    <w:rsid w:val="00390485"/>
    <w:rsid w:val="00390D4D"/>
    <w:rsid w:val="00390FB0"/>
    <w:rsid w:val="00391780"/>
    <w:rsid w:val="003A387B"/>
    <w:rsid w:val="003A4344"/>
    <w:rsid w:val="003B6286"/>
    <w:rsid w:val="003C05BA"/>
    <w:rsid w:val="003C082D"/>
    <w:rsid w:val="003C4586"/>
    <w:rsid w:val="003C47BA"/>
    <w:rsid w:val="003C4BF0"/>
    <w:rsid w:val="003C51D4"/>
    <w:rsid w:val="003C537F"/>
    <w:rsid w:val="003C69FA"/>
    <w:rsid w:val="003D057B"/>
    <w:rsid w:val="003D1DA3"/>
    <w:rsid w:val="003D52DB"/>
    <w:rsid w:val="003D5F87"/>
    <w:rsid w:val="003D6168"/>
    <w:rsid w:val="003E0839"/>
    <w:rsid w:val="003E2984"/>
    <w:rsid w:val="003E4AEB"/>
    <w:rsid w:val="003E5745"/>
    <w:rsid w:val="003E65CF"/>
    <w:rsid w:val="003F0092"/>
    <w:rsid w:val="003F0399"/>
    <w:rsid w:val="003F133D"/>
    <w:rsid w:val="003F13DC"/>
    <w:rsid w:val="003F7080"/>
    <w:rsid w:val="00400392"/>
    <w:rsid w:val="0040202E"/>
    <w:rsid w:val="00403DA4"/>
    <w:rsid w:val="004042EC"/>
    <w:rsid w:val="004050F8"/>
    <w:rsid w:val="004053CA"/>
    <w:rsid w:val="00405458"/>
    <w:rsid w:val="00413587"/>
    <w:rsid w:val="00414DB0"/>
    <w:rsid w:val="00414E2A"/>
    <w:rsid w:val="00421E6C"/>
    <w:rsid w:val="00422AEF"/>
    <w:rsid w:val="00424490"/>
    <w:rsid w:val="004254F5"/>
    <w:rsid w:val="0042590E"/>
    <w:rsid w:val="00431EDA"/>
    <w:rsid w:val="004407B0"/>
    <w:rsid w:val="00441408"/>
    <w:rsid w:val="00447A8A"/>
    <w:rsid w:val="0045041F"/>
    <w:rsid w:val="0045142B"/>
    <w:rsid w:val="0045184E"/>
    <w:rsid w:val="00451A8A"/>
    <w:rsid w:val="00455334"/>
    <w:rsid w:val="00461777"/>
    <w:rsid w:val="004625C0"/>
    <w:rsid w:val="004632CC"/>
    <w:rsid w:val="00463B8A"/>
    <w:rsid w:val="00465B20"/>
    <w:rsid w:val="00465E62"/>
    <w:rsid w:val="004700BA"/>
    <w:rsid w:val="00471593"/>
    <w:rsid w:val="00471664"/>
    <w:rsid w:val="00472654"/>
    <w:rsid w:val="00473104"/>
    <w:rsid w:val="0047500C"/>
    <w:rsid w:val="00475FD0"/>
    <w:rsid w:val="004776B5"/>
    <w:rsid w:val="004838EE"/>
    <w:rsid w:val="004843CD"/>
    <w:rsid w:val="0048509F"/>
    <w:rsid w:val="00486C9E"/>
    <w:rsid w:val="00486D9D"/>
    <w:rsid w:val="00487332"/>
    <w:rsid w:val="00487760"/>
    <w:rsid w:val="00490E81"/>
    <w:rsid w:val="00491E8E"/>
    <w:rsid w:val="00492C9D"/>
    <w:rsid w:val="0049322C"/>
    <w:rsid w:val="00495C30"/>
    <w:rsid w:val="00495D00"/>
    <w:rsid w:val="0049771B"/>
    <w:rsid w:val="004A10BE"/>
    <w:rsid w:val="004A1C69"/>
    <w:rsid w:val="004A453D"/>
    <w:rsid w:val="004A69C1"/>
    <w:rsid w:val="004B28F2"/>
    <w:rsid w:val="004B3856"/>
    <w:rsid w:val="004B4490"/>
    <w:rsid w:val="004B5C21"/>
    <w:rsid w:val="004B755E"/>
    <w:rsid w:val="004C2003"/>
    <w:rsid w:val="004C479E"/>
    <w:rsid w:val="004C6D65"/>
    <w:rsid w:val="004D01FB"/>
    <w:rsid w:val="004D0C95"/>
    <w:rsid w:val="004D2505"/>
    <w:rsid w:val="004D3C79"/>
    <w:rsid w:val="004D5EFE"/>
    <w:rsid w:val="004D6A38"/>
    <w:rsid w:val="004D6DC3"/>
    <w:rsid w:val="004E39BC"/>
    <w:rsid w:val="004E519B"/>
    <w:rsid w:val="004F1326"/>
    <w:rsid w:val="004F15E6"/>
    <w:rsid w:val="004F2123"/>
    <w:rsid w:val="004F4D43"/>
    <w:rsid w:val="004F6873"/>
    <w:rsid w:val="00500D79"/>
    <w:rsid w:val="00501E1D"/>
    <w:rsid w:val="005039BC"/>
    <w:rsid w:val="005042D3"/>
    <w:rsid w:val="005072E0"/>
    <w:rsid w:val="00510B4C"/>
    <w:rsid w:val="005120B8"/>
    <w:rsid w:val="0051270E"/>
    <w:rsid w:val="005127B1"/>
    <w:rsid w:val="0051389B"/>
    <w:rsid w:val="005153FF"/>
    <w:rsid w:val="00515AD7"/>
    <w:rsid w:val="005177B0"/>
    <w:rsid w:val="005214BE"/>
    <w:rsid w:val="005222CD"/>
    <w:rsid w:val="00524506"/>
    <w:rsid w:val="00524597"/>
    <w:rsid w:val="005261EA"/>
    <w:rsid w:val="0052646C"/>
    <w:rsid w:val="00530D8F"/>
    <w:rsid w:val="005319E1"/>
    <w:rsid w:val="00531FA9"/>
    <w:rsid w:val="0053404C"/>
    <w:rsid w:val="005352EC"/>
    <w:rsid w:val="00535A93"/>
    <w:rsid w:val="00537B45"/>
    <w:rsid w:val="005435C1"/>
    <w:rsid w:val="00544D0B"/>
    <w:rsid w:val="005450B2"/>
    <w:rsid w:val="005471F6"/>
    <w:rsid w:val="00553A55"/>
    <w:rsid w:val="00555098"/>
    <w:rsid w:val="00556799"/>
    <w:rsid w:val="00557745"/>
    <w:rsid w:val="005611DE"/>
    <w:rsid w:val="00562BCE"/>
    <w:rsid w:val="00563787"/>
    <w:rsid w:val="00564357"/>
    <w:rsid w:val="005651D2"/>
    <w:rsid w:val="00566BDC"/>
    <w:rsid w:val="00566DC2"/>
    <w:rsid w:val="00570B34"/>
    <w:rsid w:val="00570C79"/>
    <w:rsid w:val="0057195A"/>
    <w:rsid w:val="00571C6B"/>
    <w:rsid w:val="00580A56"/>
    <w:rsid w:val="00581B36"/>
    <w:rsid w:val="00581DB8"/>
    <w:rsid w:val="00582900"/>
    <w:rsid w:val="00582AAF"/>
    <w:rsid w:val="0058316C"/>
    <w:rsid w:val="00585B68"/>
    <w:rsid w:val="005867E8"/>
    <w:rsid w:val="005902B8"/>
    <w:rsid w:val="00590380"/>
    <w:rsid w:val="00591C45"/>
    <w:rsid w:val="005B1DDB"/>
    <w:rsid w:val="005B383A"/>
    <w:rsid w:val="005B535A"/>
    <w:rsid w:val="005B5581"/>
    <w:rsid w:val="005C3CEF"/>
    <w:rsid w:val="005D20A3"/>
    <w:rsid w:val="005D2C79"/>
    <w:rsid w:val="005D3AFC"/>
    <w:rsid w:val="005D3CE3"/>
    <w:rsid w:val="005D44D2"/>
    <w:rsid w:val="005D5F97"/>
    <w:rsid w:val="005E1E8D"/>
    <w:rsid w:val="005E2CFB"/>
    <w:rsid w:val="005F3C80"/>
    <w:rsid w:val="005F4347"/>
    <w:rsid w:val="005F4C3A"/>
    <w:rsid w:val="005F639A"/>
    <w:rsid w:val="005F7DC8"/>
    <w:rsid w:val="0060083C"/>
    <w:rsid w:val="006041F8"/>
    <w:rsid w:val="00604E8F"/>
    <w:rsid w:val="006069BC"/>
    <w:rsid w:val="006073E4"/>
    <w:rsid w:val="00611C6E"/>
    <w:rsid w:val="00616F2F"/>
    <w:rsid w:val="00617120"/>
    <w:rsid w:val="006177BD"/>
    <w:rsid w:val="00621198"/>
    <w:rsid w:val="00623FF7"/>
    <w:rsid w:val="0062583E"/>
    <w:rsid w:val="00626EFD"/>
    <w:rsid w:val="006356CC"/>
    <w:rsid w:val="006358C5"/>
    <w:rsid w:val="00636DD8"/>
    <w:rsid w:val="006375F9"/>
    <w:rsid w:val="00641841"/>
    <w:rsid w:val="00642C80"/>
    <w:rsid w:val="00644C41"/>
    <w:rsid w:val="0064518F"/>
    <w:rsid w:val="00655372"/>
    <w:rsid w:val="00662D06"/>
    <w:rsid w:val="00663912"/>
    <w:rsid w:val="00665F54"/>
    <w:rsid w:val="0067048B"/>
    <w:rsid w:val="00670B5B"/>
    <w:rsid w:val="00671849"/>
    <w:rsid w:val="00672C6B"/>
    <w:rsid w:val="00675120"/>
    <w:rsid w:val="006869CE"/>
    <w:rsid w:val="00691B59"/>
    <w:rsid w:val="00691B61"/>
    <w:rsid w:val="006A1025"/>
    <w:rsid w:val="006A13FD"/>
    <w:rsid w:val="006A3854"/>
    <w:rsid w:val="006A4BBC"/>
    <w:rsid w:val="006B1261"/>
    <w:rsid w:val="006B3B98"/>
    <w:rsid w:val="006B4A48"/>
    <w:rsid w:val="006B65AC"/>
    <w:rsid w:val="006B792D"/>
    <w:rsid w:val="006C0D32"/>
    <w:rsid w:val="006C19CA"/>
    <w:rsid w:val="006C21D1"/>
    <w:rsid w:val="006C2865"/>
    <w:rsid w:val="006C3E2E"/>
    <w:rsid w:val="006C456F"/>
    <w:rsid w:val="006C7602"/>
    <w:rsid w:val="006D0D9B"/>
    <w:rsid w:val="006D1E28"/>
    <w:rsid w:val="006D3555"/>
    <w:rsid w:val="006D642E"/>
    <w:rsid w:val="006D708E"/>
    <w:rsid w:val="006D7541"/>
    <w:rsid w:val="006E0A01"/>
    <w:rsid w:val="006E59B9"/>
    <w:rsid w:val="006F03DE"/>
    <w:rsid w:val="006F0951"/>
    <w:rsid w:val="006F0DB6"/>
    <w:rsid w:val="006F145C"/>
    <w:rsid w:val="006F43F3"/>
    <w:rsid w:val="006F47A4"/>
    <w:rsid w:val="006F76F5"/>
    <w:rsid w:val="007045D9"/>
    <w:rsid w:val="00705BA6"/>
    <w:rsid w:val="0070686C"/>
    <w:rsid w:val="0071125A"/>
    <w:rsid w:val="0071188E"/>
    <w:rsid w:val="00715A58"/>
    <w:rsid w:val="00715C4C"/>
    <w:rsid w:val="00716427"/>
    <w:rsid w:val="007202E9"/>
    <w:rsid w:val="00721F17"/>
    <w:rsid w:val="007227C1"/>
    <w:rsid w:val="00722D93"/>
    <w:rsid w:val="00726933"/>
    <w:rsid w:val="00727CAA"/>
    <w:rsid w:val="00731E34"/>
    <w:rsid w:val="00732069"/>
    <w:rsid w:val="00732663"/>
    <w:rsid w:val="00733199"/>
    <w:rsid w:val="00734716"/>
    <w:rsid w:val="00735BC9"/>
    <w:rsid w:val="00740DFF"/>
    <w:rsid w:val="00742F35"/>
    <w:rsid w:val="00750627"/>
    <w:rsid w:val="00751EFE"/>
    <w:rsid w:val="0075763C"/>
    <w:rsid w:val="00760841"/>
    <w:rsid w:val="0076403A"/>
    <w:rsid w:val="007645A5"/>
    <w:rsid w:val="00766354"/>
    <w:rsid w:val="00766624"/>
    <w:rsid w:val="0076700E"/>
    <w:rsid w:val="00767E08"/>
    <w:rsid w:val="00767F21"/>
    <w:rsid w:val="00773060"/>
    <w:rsid w:val="00774A3D"/>
    <w:rsid w:val="00776B16"/>
    <w:rsid w:val="0078089E"/>
    <w:rsid w:val="00782A76"/>
    <w:rsid w:val="00785AFD"/>
    <w:rsid w:val="00790509"/>
    <w:rsid w:val="00792E4C"/>
    <w:rsid w:val="007932DE"/>
    <w:rsid w:val="00793EE5"/>
    <w:rsid w:val="0079417C"/>
    <w:rsid w:val="00794796"/>
    <w:rsid w:val="00794915"/>
    <w:rsid w:val="00794D6A"/>
    <w:rsid w:val="00796259"/>
    <w:rsid w:val="0079674A"/>
    <w:rsid w:val="007A4358"/>
    <w:rsid w:val="007A4386"/>
    <w:rsid w:val="007A58C0"/>
    <w:rsid w:val="007B2AB7"/>
    <w:rsid w:val="007B36CD"/>
    <w:rsid w:val="007B39A7"/>
    <w:rsid w:val="007B3F9D"/>
    <w:rsid w:val="007B66AF"/>
    <w:rsid w:val="007C1FAA"/>
    <w:rsid w:val="007C74B3"/>
    <w:rsid w:val="007D7892"/>
    <w:rsid w:val="007E5545"/>
    <w:rsid w:val="007F1152"/>
    <w:rsid w:val="007F7258"/>
    <w:rsid w:val="00800918"/>
    <w:rsid w:val="00801B76"/>
    <w:rsid w:val="0080363D"/>
    <w:rsid w:val="0080627E"/>
    <w:rsid w:val="008069C8"/>
    <w:rsid w:val="00807E03"/>
    <w:rsid w:val="00813BE2"/>
    <w:rsid w:val="0081533D"/>
    <w:rsid w:val="0081613F"/>
    <w:rsid w:val="00816CC5"/>
    <w:rsid w:val="00824BE5"/>
    <w:rsid w:val="008259BF"/>
    <w:rsid w:val="00827460"/>
    <w:rsid w:val="00832A29"/>
    <w:rsid w:val="0083460B"/>
    <w:rsid w:val="0083488D"/>
    <w:rsid w:val="008367AD"/>
    <w:rsid w:val="008369A9"/>
    <w:rsid w:val="008408B4"/>
    <w:rsid w:val="00842CA2"/>
    <w:rsid w:val="008438E1"/>
    <w:rsid w:val="00844A69"/>
    <w:rsid w:val="00851D70"/>
    <w:rsid w:val="008533C7"/>
    <w:rsid w:val="008536F7"/>
    <w:rsid w:val="008537E6"/>
    <w:rsid w:val="00853E6F"/>
    <w:rsid w:val="00854646"/>
    <w:rsid w:val="0085739F"/>
    <w:rsid w:val="00860DE7"/>
    <w:rsid w:val="008622F0"/>
    <w:rsid w:val="00862506"/>
    <w:rsid w:val="00864ED4"/>
    <w:rsid w:val="00864FBF"/>
    <w:rsid w:val="00864FFC"/>
    <w:rsid w:val="00867C9E"/>
    <w:rsid w:val="00871A30"/>
    <w:rsid w:val="0087469F"/>
    <w:rsid w:val="00876CB7"/>
    <w:rsid w:val="00882443"/>
    <w:rsid w:val="008849DE"/>
    <w:rsid w:val="00886C06"/>
    <w:rsid w:val="0088774D"/>
    <w:rsid w:val="00887F53"/>
    <w:rsid w:val="008907C3"/>
    <w:rsid w:val="0089086F"/>
    <w:rsid w:val="00892E82"/>
    <w:rsid w:val="008945DA"/>
    <w:rsid w:val="00894D23"/>
    <w:rsid w:val="008A0711"/>
    <w:rsid w:val="008A0D3C"/>
    <w:rsid w:val="008A1F5E"/>
    <w:rsid w:val="008A2ABC"/>
    <w:rsid w:val="008A2BAD"/>
    <w:rsid w:val="008A46D4"/>
    <w:rsid w:val="008A4894"/>
    <w:rsid w:val="008A52CD"/>
    <w:rsid w:val="008A5C04"/>
    <w:rsid w:val="008B0955"/>
    <w:rsid w:val="008B0B88"/>
    <w:rsid w:val="008B218F"/>
    <w:rsid w:val="008B277E"/>
    <w:rsid w:val="008B5D61"/>
    <w:rsid w:val="008B79C3"/>
    <w:rsid w:val="008C04EB"/>
    <w:rsid w:val="008C0B6B"/>
    <w:rsid w:val="008C2FE1"/>
    <w:rsid w:val="008C5233"/>
    <w:rsid w:val="008C66C3"/>
    <w:rsid w:val="008C7EE1"/>
    <w:rsid w:val="008D1592"/>
    <w:rsid w:val="008D26D8"/>
    <w:rsid w:val="008D2D0A"/>
    <w:rsid w:val="008D7D63"/>
    <w:rsid w:val="008E10F0"/>
    <w:rsid w:val="008E5AFF"/>
    <w:rsid w:val="008E6FF6"/>
    <w:rsid w:val="008E77FC"/>
    <w:rsid w:val="008F0717"/>
    <w:rsid w:val="008F0A3B"/>
    <w:rsid w:val="008F0D84"/>
    <w:rsid w:val="008F2105"/>
    <w:rsid w:val="008F2E1F"/>
    <w:rsid w:val="008F39BC"/>
    <w:rsid w:val="008F608C"/>
    <w:rsid w:val="008F6334"/>
    <w:rsid w:val="00906082"/>
    <w:rsid w:val="0090643A"/>
    <w:rsid w:val="00906C44"/>
    <w:rsid w:val="00916195"/>
    <w:rsid w:val="00916C6C"/>
    <w:rsid w:val="009200CB"/>
    <w:rsid w:val="00920F85"/>
    <w:rsid w:val="0092147A"/>
    <w:rsid w:val="009217AE"/>
    <w:rsid w:val="009232A3"/>
    <w:rsid w:val="00924701"/>
    <w:rsid w:val="0092703D"/>
    <w:rsid w:val="00927D09"/>
    <w:rsid w:val="00933D6C"/>
    <w:rsid w:val="0093541F"/>
    <w:rsid w:val="00937096"/>
    <w:rsid w:val="00937AB4"/>
    <w:rsid w:val="00937B1F"/>
    <w:rsid w:val="0094299C"/>
    <w:rsid w:val="009437C5"/>
    <w:rsid w:val="00950DAF"/>
    <w:rsid w:val="00953F89"/>
    <w:rsid w:val="009544CA"/>
    <w:rsid w:val="009556F1"/>
    <w:rsid w:val="009626F9"/>
    <w:rsid w:val="009674F6"/>
    <w:rsid w:val="009678DE"/>
    <w:rsid w:val="00971108"/>
    <w:rsid w:val="00971787"/>
    <w:rsid w:val="00972D35"/>
    <w:rsid w:val="00980C11"/>
    <w:rsid w:val="0098263C"/>
    <w:rsid w:val="0098659E"/>
    <w:rsid w:val="00990D56"/>
    <w:rsid w:val="00997DE8"/>
    <w:rsid w:val="009A01B3"/>
    <w:rsid w:val="009A250B"/>
    <w:rsid w:val="009A33B3"/>
    <w:rsid w:val="009A5874"/>
    <w:rsid w:val="009A5C56"/>
    <w:rsid w:val="009A7B71"/>
    <w:rsid w:val="009B0E69"/>
    <w:rsid w:val="009B1BA7"/>
    <w:rsid w:val="009B5E07"/>
    <w:rsid w:val="009B6BA2"/>
    <w:rsid w:val="009C2585"/>
    <w:rsid w:val="009C2F4B"/>
    <w:rsid w:val="009C3E89"/>
    <w:rsid w:val="009C6131"/>
    <w:rsid w:val="009D28E7"/>
    <w:rsid w:val="009D2E8A"/>
    <w:rsid w:val="009D50D8"/>
    <w:rsid w:val="009D591B"/>
    <w:rsid w:val="009E2226"/>
    <w:rsid w:val="009F263F"/>
    <w:rsid w:val="009F35B7"/>
    <w:rsid w:val="009F4220"/>
    <w:rsid w:val="009F7F8B"/>
    <w:rsid w:val="00A027C4"/>
    <w:rsid w:val="00A04758"/>
    <w:rsid w:val="00A0596E"/>
    <w:rsid w:val="00A07101"/>
    <w:rsid w:val="00A07EF0"/>
    <w:rsid w:val="00A11D7D"/>
    <w:rsid w:val="00A134CD"/>
    <w:rsid w:val="00A15385"/>
    <w:rsid w:val="00A222C6"/>
    <w:rsid w:val="00A22C88"/>
    <w:rsid w:val="00A2309B"/>
    <w:rsid w:val="00A23148"/>
    <w:rsid w:val="00A272E1"/>
    <w:rsid w:val="00A31CBF"/>
    <w:rsid w:val="00A36F6F"/>
    <w:rsid w:val="00A40A5D"/>
    <w:rsid w:val="00A40E80"/>
    <w:rsid w:val="00A457E7"/>
    <w:rsid w:val="00A45F9D"/>
    <w:rsid w:val="00A50EDA"/>
    <w:rsid w:val="00A51354"/>
    <w:rsid w:val="00A57656"/>
    <w:rsid w:val="00A60B64"/>
    <w:rsid w:val="00A61C5B"/>
    <w:rsid w:val="00A64448"/>
    <w:rsid w:val="00A72657"/>
    <w:rsid w:val="00A73969"/>
    <w:rsid w:val="00A74E66"/>
    <w:rsid w:val="00A75651"/>
    <w:rsid w:val="00A80087"/>
    <w:rsid w:val="00A82ABE"/>
    <w:rsid w:val="00A832F0"/>
    <w:rsid w:val="00A85ACA"/>
    <w:rsid w:val="00A868E4"/>
    <w:rsid w:val="00A87C1F"/>
    <w:rsid w:val="00A938AA"/>
    <w:rsid w:val="00A93E69"/>
    <w:rsid w:val="00A9438A"/>
    <w:rsid w:val="00A9583E"/>
    <w:rsid w:val="00AA2B66"/>
    <w:rsid w:val="00AA3BB5"/>
    <w:rsid w:val="00AA4446"/>
    <w:rsid w:val="00AB1492"/>
    <w:rsid w:val="00AB180C"/>
    <w:rsid w:val="00AB3C9A"/>
    <w:rsid w:val="00AB583B"/>
    <w:rsid w:val="00AC3433"/>
    <w:rsid w:val="00AC713D"/>
    <w:rsid w:val="00AC7CFD"/>
    <w:rsid w:val="00AD1694"/>
    <w:rsid w:val="00AD34DE"/>
    <w:rsid w:val="00AE0969"/>
    <w:rsid w:val="00AE189B"/>
    <w:rsid w:val="00AE2F01"/>
    <w:rsid w:val="00AE311F"/>
    <w:rsid w:val="00AE60C3"/>
    <w:rsid w:val="00AE63AC"/>
    <w:rsid w:val="00AF0FEC"/>
    <w:rsid w:val="00AF4EEF"/>
    <w:rsid w:val="00AF65D2"/>
    <w:rsid w:val="00AF68FB"/>
    <w:rsid w:val="00AF6A99"/>
    <w:rsid w:val="00B00544"/>
    <w:rsid w:val="00B011F4"/>
    <w:rsid w:val="00B020D7"/>
    <w:rsid w:val="00B028FC"/>
    <w:rsid w:val="00B034D9"/>
    <w:rsid w:val="00B0536C"/>
    <w:rsid w:val="00B062CC"/>
    <w:rsid w:val="00B07121"/>
    <w:rsid w:val="00B108BC"/>
    <w:rsid w:val="00B12ACD"/>
    <w:rsid w:val="00B13CC9"/>
    <w:rsid w:val="00B140E2"/>
    <w:rsid w:val="00B16F83"/>
    <w:rsid w:val="00B21B7D"/>
    <w:rsid w:val="00B2340E"/>
    <w:rsid w:val="00B23828"/>
    <w:rsid w:val="00B24A00"/>
    <w:rsid w:val="00B24C2F"/>
    <w:rsid w:val="00B2742C"/>
    <w:rsid w:val="00B27C8D"/>
    <w:rsid w:val="00B305FA"/>
    <w:rsid w:val="00B30F98"/>
    <w:rsid w:val="00B31195"/>
    <w:rsid w:val="00B32B77"/>
    <w:rsid w:val="00B3769A"/>
    <w:rsid w:val="00B44307"/>
    <w:rsid w:val="00B44643"/>
    <w:rsid w:val="00B45553"/>
    <w:rsid w:val="00B529C0"/>
    <w:rsid w:val="00B52DA2"/>
    <w:rsid w:val="00B55634"/>
    <w:rsid w:val="00B55670"/>
    <w:rsid w:val="00B6199A"/>
    <w:rsid w:val="00B61CD8"/>
    <w:rsid w:val="00B624DE"/>
    <w:rsid w:val="00B63A0E"/>
    <w:rsid w:val="00B63FC5"/>
    <w:rsid w:val="00B65035"/>
    <w:rsid w:val="00B66FD7"/>
    <w:rsid w:val="00B73403"/>
    <w:rsid w:val="00B75B45"/>
    <w:rsid w:val="00B80FE7"/>
    <w:rsid w:val="00B842AF"/>
    <w:rsid w:val="00B8435E"/>
    <w:rsid w:val="00B85D82"/>
    <w:rsid w:val="00B86EE3"/>
    <w:rsid w:val="00B87505"/>
    <w:rsid w:val="00B875FE"/>
    <w:rsid w:val="00B876FE"/>
    <w:rsid w:val="00B929A5"/>
    <w:rsid w:val="00B95667"/>
    <w:rsid w:val="00B965F5"/>
    <w:rsid w:val="00BA0483"/>
    <w:rsid w:val="00BA052F"/>
    <w:rsid w:val="00BA2591"/>
    <w:rsid w:val="00BA6C46"/>
    <w:rsid w:val="00BB3B4B"/>
    <w:rsid w:val="00BB5261"/>
    <w:rsid w:val="00BB608C"/>
    <w:rsid w:val="00BB612C"/>
    <w:rsid w:val="00BC077C"/>
    <w:rsid w:val="00BC4085"/>
    <w:rsid w:val="00BC42A8"/>
    <w:rsid w:val="00BC5271"/>
    <w:rsid w:val="00BD2CEA"/>
    <w:rsid w:val="00BD5B44"/>
    <w:rsid w:val="00BD7A70"/>
    <w:rsid w:val="00BE3DD7"/>
    <w:rsid w:val="00BE46D7"/>
    <w:rsid w:val="00BE7EDE"/>
    <w:rsid w:val="00BF3DF9"/>
    <w:rsid w:val="00BF62FB"/>
    <w:rsid w:val="00BF6353"/>
    <w:rsid w:val="00BF6FAA"/>
    <w:rsid w:val="00C02898"/>
    <w:rsid w:val="00C05DD6"/>
    <w:rsid w:val="00C05FEA"/>
    <w:rsid w:val="00C0753D"/>
    <w:rsid w:val="00C07598"/>
    <w:rsid w:val="00C10009"/>
    <w:rsid w:val="00C15638"/>
    <w:rsid w:val="00C16468"/>
    <w:rsid w:val="00C235D5"/>
    <w:rsid w:val="00C23EA7"/>
    <w:rsid w:val="00C252DF"/>
    <w:rsid w:val="00C3069D"/>
    <w:rsid w:val="00C405ED"/>
    <w:rsid w:val="00C420E5"/>
    <w:rsid w:val="00C42B99"/>
    <w:rsid w:val="00C451D1"/>
    <w:rsid w:val="00C50540"/>
    <w:rsid w:val="00C51075"/>
    <w:rsid w:val="00C519D5"/>
    <w:rsid w:val="00C51C88"/>
    <w:rsid w:val="00C54EBC"/>
    <w:rsid w:val="00C6036C"/>
    <w:rsid w:val="00C633B5"/>
    <w:rsid w:val="00C64494"/>
    <w:rsid w:val="00C66D7F"/>
    <w:rsid w:val="00C672CB"/>
    <w:rsid w:val="00C73851"/>
    <w:rsid w:val="00C75ECD"/>
    <w:rsid w:val="00C7705A"/>
    <w:rsid w:val="00C7766E"/>
    <w:rsid w:val="00C81FED"/>
    <w:rsid w:val="00C82FCC"/>
    <w:rsid w:val="00C835E3"/>
    <w:rsid w:val="00C840A4"/>
    <w:rsid w:val="00C84A39"/>
    <w:rsid w:val="00C85FFC"/>
    <w:rsid w:val="00C907AB"/>
    <w:rsid w:val="00C91601"/>
    <w:rsid w:val="00C92531"/>
    <w:rsid w:val="00C934D0"/>
    <w:rsid w:val="00CA7D54"/>
    <w:rsid w:val="00CB0B3E"/>
    <w:rsid w:val="00CB1FCC"/>
    <w:rsid w:val="00CB2872"/>
    <w:rsid w:val="00CB36F8"/>
    <w:rsid w:val="00CB495C"/>
    <w:rsid w:val="00CB6F3C"/>
    <w:rsid w:val="00CB724C"/>
    <w:rsid w:val="00CC1A75"/>
    <w:rsid w:val="00CC46F6"/>
    <w:rsid w:val="00CC4862"/>
    <w:rsid w:val="00CC51CA"/>
    <w:rsid w:val="00CC5532"/>
    <w:rsid w:val="00CC5C19"/>
    <w:rsid w:val="00CC64B6"/>
    <w:rsid w:val="00CD243A"/>
    <w:rsid w:val="00CD4EEB"/>
    <w:rsid w:val="00CD5754"/>
    <w:rsid w:val="00CD6DA6"/>
    <w:rsid w:val="00CD7300"/>
    <w:rsid w:val="00CE1FA9"/>
    <w:rsid w:val="00CE2269"/>
    <w:rsid w:val="00CE4737"/>
    <w:rsid w:val="00CE778A"/>
    <w:rsid w:val="00CF00B1"/>
    <w:rsid w:val="00CF15CF"/>
    <w:rsid w:val="00CF1695"/>
    <w:rsid w:val="00CF28D0"/>
    <w:rsid w:val="00CF2AAF"/>
    <w:rsid w:val="00CF3338"/>
    <w:rsid w:val="00D00DF2"/>
    <w:rsid w:val="00D04533"/>
    <w:rsid w:val="00D0540A"/>
    <w:rsid w:val="00D05A4B"/>
    <w:rsid w:val="00D05D26"/>
    <w:rsid w:val="00D0635C"/>
    <w:rsid w:val="00D123D5"/>
    <w:rsid w:val="00D13E6B"/>
    <w:rsid w:val="00D14D25"/>
    <w:rsid w:val="00D2058A"/>
    <w:rsid w:val="00D21B39"/>
    <w:rsid w:val="00D21FFB"/>
    <w:rsid w:val="00D30855"/>
    <w:rsid w:val="00D32691"/>
    <w:rsid w:val="00D33922"/>
    <w:rsid w:val="00D3756A"/>
    <w:rsid w:val="00D377C5"/>
    <w:rsid w:val="00D37843"/>
    <w:rsid w:val="00D37CB9"/>
    <w:rsid w:val="00D40224"/>
    <w:rsid w:val="00D41E91"/>
    <w:rsid w:val="00D43A75"/>
    <w:rsid w:val="00D43AB3"/>
    <w:rsid w:val="00D43CE0"/>
    <w:rsid w:val="00D44BB8"/>
    <w:rsid w:val="00D45089"/>
    <w:rsid w:val="00D45651"/>
    <w:rsid w:val="00D50E18"/>
    <w:rsid w:val="00D51A00"/>
    <w:rsid w:val="00D52A31"/>
    <w:rsid w:val="00D54077"/>
    <w:rsid w:val="00D555BD"/>
    <w:rsid w:val="00D5601A"/>
    <w:rsid w:val="00D6282F"/>
    <w:rsid w:val="00D62C34"/>
    <w:rsid w:val="00D62CF2"/>
    <w:rsid w:val="00D62ECD"/>
    <w:rsid w:val="00D63453"/>
    <w:rsid w:val="00D63582"/>
    <w:rsid w:val="00D65B99"/>
    <w:rsid w:val="00D65C66"/>
    <w:rsid w:val="00D75103"/>
    <w:rsid w:val="00D7555C"/>
    <w:rsid w:val="00D76B70"/>
    <w:rsid w:val="00D771CA"/>
    <w:rsid w:val="00D80362"/>
    <w:rsid w:val="00D80549"/>
    <w:rsid w:val="00D87F1A"/>
    <w:rsid w:val="00D92614"/>
    <w:rsid w:val="00D93777"/>
    <w:rsid w:val="00D94AA1"/>
    <w:rsid w:val="00DA0726"/>
    <w:rsid w:val="00DA1288"/>
    <w:rsid w:val="00DA4400"/>
    <w:rsid w:val="00DA5245"/>
    <w:rsid w:val="00DA5684"/>
    <w:rsid w:val="00DA731E"/>
    <w:rsid w:val="00DB0CD1"/>
    <w:rsid w:val="00DB2C66"/>
    <w:rsid w:val="00DB31CA"/>
    <w:rsid w:val="00DC0982"/>
    <w:rsid w:val="00DC1767"/>
    <w:rsid w:val="00DC3A84"/>
    <w:rsid w:val="00DC3C89"/>
    <w:rsid w:val="00DC4377"/>
    <w:rsid w:val="00DC6D3C"/>
    <w:rsid w:val="00DE3D50"/>
    <w:rsid w:val="00DE4C0A"/>
    <w:rsid w:val="00DE4E81"/>
    <w:rsid w:val="00DF1672"/>
    <w:rsid w:val="00DF1F6A"/>
    <w:rsid w:val="00DF3AB8"/>
    <w:rsid w:val="00DF625A"/>
    <w:rsid w:val="00DF7E2C"/>
    <w:rsid w:val="00E00CFC"/>
    <w:rsid w:val="00E05ACB"/>
    <w:rsid w:val="00E0601E"/>
    <w:rsid w:val="00E13504"/>
    <w:rsid w:val="00E15CF9"/>
    <w:rsid w:val="00E15E2E"/>
    <w:rsid w:val="00E21F47"/>
    <w:rsid w:val="00E226E5"/>
    <w:rsid w:val="00E23311"/>
    <w:rsid w:val="00E23E99"/>
    <w:rsid w:val="00E324CF"/>
    <w:rsid w:val="00E32CB8"/>
    <w:rsid w:val="00E34AE0"/>
    <w:rsid w:val="00E35085"/>
    <w:rsid w:val="00E35645"/>
    <w:rsid w:val="00E408A1"/>
    <w:rsid w:val="00E40D12"/>
    <w:rsid w:val="00E436CE"/>
    <w:rsid w:val="00E44C17"/>
    <w:rsid w:val="00E456C0"/>
    <w:rsid w:val="00E5015C"/>
    <w:rsid w:val="00E51008"/>
    <w:rsid w:val="00E57949"/>
    <w:rsid w:val="00E62227"/>
    <w:rsid w:val="00E63D6D"/>
    <w:rsid w:val="00E65A13"/>
    <w:rsid w:val="00E66670"/>
    <w:rsid w:val="00E670D8"/>
    <w:rsid w:val="00E70C67"/>
    <w:rsid w:val="00E73722"/>
    <w:rsid w:val="00E75021"/>
    <w:rsid w:val="00E75261"/>
    <w:rsid w:val="00E75AE1"/>
    <w:rsid w:val="00E8439B"/>
    <w:rsid w:val="00E85AF0"/>
    <w:rsid w:val="00E938F3"/>
    <w:rsid w:val="00E94ADE"/>
    <w:rsid w:val="00E94FB0"/>
    <w:rsid w:val="00E97797"/>
    <w:rsid w:val="00EA0A82"/>
    <w:rsid w:val="00EA0D5E"/>
    <w:rsid w:val="00EA2C41"/>
    <w:rsid w:val="00EA4BB6"/>
    <w:rsid w:val="00EA4D7A"/>
    <w:rsid w:val="00EA63DC"/>
    <w:rsid w:val="00EA6F22"/>
    <w:rsid w:val="00EA79BD"/>
    <w:rsid w:val="00EB14E0"/>
    <w:rsid w:val="00EB1B27"/>
    <w:rsid w:val="00EB4598"/>
    <w:rsid w:val="00EB5B74"/>
    <w:rsid w:val="00EC3EDE"/>
    <w:rsid w:val="00ED0F65"/>
    <w:rsid w:val="00ED237E"/>
    <w:rsid w:val="00EE0C14"/>
    <w:rsid w:val="00EE1262"/>
    <w:rsid w:val="00EE2DA0"/>
    <w:rsid w:val="00EE4BFD"/>
    <w:rsid w:val="00EE6DA2"/>
    <w:rsid w:val="00EF1D2D"/>
    <w:rsid w:val="00EF28A9"/>
    <w:rsid w:val="00EF579B"/>
    <w:rsid w:val="00EF5993"/>
    <w:rsid w:val="00EF693D"/>
    <w:rsid w:val="00EF77AD"/>
    <w:rsid w:val="00F017D0"/>
    <w:rsid w:val="00F0683F"/>
    <w:rsid w:val="00F06996"/>
    <w:rsid w:val="00F17603"/>
    <w:rsid w:val="00F17866"/>
    <w:rsid w:val="00F202DB"/>
    <w:rsid w:val="00F20AE8"/>
    <w:rsid w:val="00F21185"/>
    <w:rsid w:val="00F22297"/>
    <w:rsid w:val="00F332CA"/>
    <w:rsid w:val="00F33FFC"/>
    <w:rsid w:val="00F35F75"/>
    <w:rsid w:val="00F3611C"/>
    <w:rsid w:val="00F36645"/>
    <w:rsid w:val="00F408CD"/>
    <w:rsid w:val="00F428A4"/>
    <w:rsid w:val="00F452A7"/>
    <w:rsid w:val="00F45D13"/>
    <w:rsid w:val="00F5380A"/>
    <w:rsid w:val="00F53B26"/>
    <w:rsid w:val="00F5518A"/>
    <w:rsid w:val="00F555AC"/>
    <w:rsid w:val="00F55F06"/>
    <w:rsid w:val="00F61453"/>
    <w:rsid w:val="00F618FE"/>
    <w:rsid w:val="00F62792"/>
    <w:rsid w:val="00F63570"/>
    <w:rsid w:val="00F65C3D"/>
    <w:rsid w:val="00F7038C"/>
    <w:rsid w:val="00F70C89"/>
    <w:rsid w:val="00F74379"/>
    <w:rsid w:val="00F77358"/>
    <w:rsid w:val="00F77C8C"/>
    <w:rsid w:val="00F81BC2"/>
    <w:rsid w:val="00F82A6B"/>
    <w:rsid w:val="00F834CE"/>
    <w:rsid w:val="00F838AF"/>
    <w:rsid w:val="00F852B4"/>
    <w:rsid w:val="00F96A61"/>
    <w:rsid w:val="00F9769F"/>
    <w:rsid w:val="00F97DD2"/>
    <w:rsid w:val="00FA2019"/>
    <w:rsid w:val="00FA31DF"/>
    <w:rsid w:val="00FA3F3C"/>
    <w:rsid w:val="00FA4177"/>
    <w:rsid w:val="00FA7DA7"/>
    <w:rsid w:val="00FB0B20"/>
    <w:rsid w:val="00FB4EE3"/>
    <w:rsid w:val="00FB63A8"/>
    <w:rsid w:val="00FC109A"/>
    <w:rsid w:val="00FC15F0"/>
    <w:rsid w:val="00FC382D"/>
    <w:rsid w:val="00FC47CD"/>
    <w:rsid w:val="00FD207F"/>
    <w:rsid w:val="00FD32A8"/>
    <w:rsid w:val="00FD536D"/>
    <w:rsid w:val="00FD6AB3"/>
    <w:rsid w:val="00FD796C"/>
    <w:rsid w:val="00FD79A1"/>
    <w:rsid w:val="00FE20BE"/>
    <w:rsid w:val="00FE3726"/>
    <w:rsid w:val="00FE3D7E"/>
    <w:rsid w:val="00FE6D0B"/>
    <w:rsid w:val="00FF4B40"/>
    <w:rsid w:val="00FF4F8D"/>
    <w:rsid w:val="00FF6146"/>
    <w:rsid w:val="00FF7E7A"/>
    <w:rsid w:val="50F04724"/>
    <w:rsid w:val="56EF46FA"/>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ocked="1"/>
    <w:lsdException w:qFormat="1" w:unhideWhenUsed="0" w:uiPriority="99" w:semiHidden="0" w:name="heading 3"/>
    <w:lsdException w:qFormat="1" w:unhideWhenUsed="0" w:uiPriority="99" w:semiHidden="0" w:name="heading 4"/>
    <w:lsdException w:qFormat="1" w:uiPriority="0" w:name="heading 5" w:locked="1"/>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name="Body Text Indent 3"/>
    <w:lsdException w:uiPriority="99" w:name="Block Text"/>
    <w:lsdException w:unhideWhenUsed="0" w:uiPriority="99" w:semiHidden="0" w:name="Hyperlink"/>
    <w:lsdException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5"/>
    <w:qFormat/>
    <w:uiPriority w:val="99"/>
    <w:pPr>
      <w:widowControl/>
      <w:spacing w:before="100" w:beforeAutospacing="1" w:after="100" w:afterAutospacing="1"/>
      <w:jc w:val="left"/>
      <w:outlineLvl w:val="0"/>
    </w:pPr>
    <w:rPr>
      <w:b/>
      <w:bCs/>
      <w:kern w:val="44"/>
      <w:sz w:val="44"/>
      <w:szCs w:val="44"/>
    </w:rPr>
  </w:style>
  <w:style w:type="paragraph" w:styleId="3">
    <w:name w:val="heading 2"/>
    <w:basedOn w:val="1"/>
    <w:next w:val="1"/>
    <w:link w:val="43"/>
    <w:unhideWhenUsed/>
    <w:qFormat/>
    <w:locked/>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27"/>
    <w:qFormat/>
    <w:uiPriority w:val="99"/>
    <w:pPr>
      <w:widowControl/>
      <w:spacing w:before="100" w:beforeAutospacing="1" w:after="100" w:afterAutospacing="1"/>
      <w:jc w:val="left"/>
      <w:outlineLvl w:val="3"/>
    </w:pPr>
    <w:rPr>
      <w:rFonts w:ascii="Cambria" w:hAnsi="Cambria"/>
      <w:b/>
      <w:bCs/>
      <w:kern w:val="0"/>
      <w:sz w:val="28"/>
      <w:szCs w:val="28"/>
    </w:rPr>
  </w:style>
  <w:style w:type="paragraph" w:styleId="6">
    <w:name w:val="heading 6"/>
    <w:basedOn w:val="1"/>
    <w:next w:val="1"/>
    <w:link w:val="28"/>
    <w:qFormat/>
    <w:uiPriority w:val="99"/>
    <w:pPr>
      <w:keepNext/>
      <w:keepLines/>
      <w:spacing w:before="240" w:after="64" w:line="320" w:lineRule="auto"/>
      <w:outlineLvl w:val="5"/>
    </w:pPr>
    <w:rPr>
      <w:rFonts w:ascii="Cambria" w:hAnsi="Cambria"/>
      <w:b/>
      <w:bCs/>
      <w:kern w:val="0"/>
      <w:sz w:val="24"/>
      <w:szCs w:val="24"/>
    </w:rPr>
  </w:style>
  <w:style w:type="character" w:default="1" w:styleId="16">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4"/>
    <w:semiHidden/>
    <w:qFormat/>
    <w:uiPriority w:val="99"/>
    <w:rPr>
      <w:b/>
      <w:bCs/>
    </w:rPr>
  </w:style>
  <w:style w:type="paragraph" w:styleId="8">
    <w:name w:val="annotation text"/>
    <w:basedOn w:val="1"/>
    <w:link w:val="33"/>
    <w:semiHidden/>
    <w:uiPriority w:val="99"/>
    <w:pPr>
      <w:jc w:val="left"/>
    </w:pPr>
    <w:rPr>
      <w:kern w:val="0"/>
      <w:sz w:val="20"/>
    </w:rPr>
  </w:style>
  <w:style w:type="paragraph" w:styleId="9">
    <w:name w:val="Body Text Indent"/>
    <w:basedOn w:val="1"/>
    <w:link w:val="38"/>
    <w:semiHidden/>
    <w:qFormat/>
    <w:uiPriority w:val="99"/>
    <w:pPr>
      <w:spacing w:after="120"/>
      <w:ind w:left="420" w:leftChars="200"/>
    </w:pPr>
  </w:style>
  <w:style w:type="paragraph" w:styleId="10">
    <w:name w:val="Plain Text"/>
    <w:basedOn w:val="1"/>
    <w:link w:val="29"/>
    <w:qFormat/>
    <w:uiPriority w:val="0"/>
    <w:rPr>
      <w:rFonts w:ascii="宋体" w:hAnsi="Courier New"/>
      <w:kern w:val="0"/>
    </w:rPr>
  </w:style>
  <w:style w:type="paragraph" w:styleId="11">
    <w:name w:val="Balloon Text"/>
    <w:basedOn w:val="1"/>
    <w:link w:val="32"/>
    <w:semiHidden/>
    <w:qFormat/>
    <w:uiPriority w:val="99"/>
    <w:rPr>
      <w:rFonts w:ascii="Tahoma" w:hAnsi="Tahoma"/>
      <w:sz w:val="16"/>
      <w:szCs w:val="16"/>
    </w:rPr>
  </w:style>
  <w:style w:type="paragraph" w:styleId="12">
    <w:name w:val="footer"/>
    <w:basedOn w:val="1"/>
    <w:link w:val="31"/>
    <w:uiPriority w:val="99"/>
    <w:pPr>
      <w:tabs>
        <w:tab w:val="center" w:pos="4153"/>
        <w:tab w:val="right" w:pos="8306"/>
      </w:tabs>
      <w:snapToGrid w:val="0"/>
      <w:jc w:val="left"/>
    </w:pPr>
    <w:rPr>
      <w:kern w:val="0"/>
      <w:sz w:val="18"/>
      <w:szCs w:val="18"/>
    </w:rPr>
  </w:style>
  <w:style w:type="paragraph" w:styleId="13">
    <w:name w:val="header"/>
    <w:basedOn w:val="1"/>
    <w:link w:val="30"/>
    <w:qFormat/>
    <w:uiPriority w:val="99"/>
    <w:pPr>
      <w:pBdr>
        <w:bottom w:val="single" w:color="auto" w:sz="6" w:space="1"/>
      </w:pBdr>
      <w:tabs>
        <w:tab w:val="center" w:pos="4153"/>
        <w:tab w:val="right" w:pos="8306"/>
      </w:tabs>
      <w:snapToGrid w:val="0"/>
      <w:jc w:val="center"/>
    </w:pPr>
    <w:rPr>
      <w:kern w:val="0"/>
      <w:sz w:val="18"/>
      <w:szCs w:val="18"/>
    </w:rPr>
  </w:style>
  <w:style w:type="paragraph" w:styleId="14">
    <w:name w:val="Body Text Indent 3"/>
    <w:basedOn w:val="1"/>
    <w:link w:val="36"/>
    <w:semiHidden/>
    <w:qFormat/>
    <w:uiPriority w:val="99"/>
    <w:pPr>
      <w:spacing w:line="360" w:lineRule="exact"/>
      <w:ind w:firstLine="420" w:firstLineChars="175"/>
    </w:pPr>
    <w:rPr>
      <w:rFonts w:ascii="宋体" w:hAnsi="宋体"/>
      <w:sz w:val="24"/>
      <w:szCs w:val="24"/>
    </w:rPr>
  </w:style>
  <w:style w:type="paragraph" w:styleId="15">
    <w:name w:val="Normal (Web)"/>
    <w:basedOn w:val="1"/>
    <w:qFormat/>
    <w:uiPriority w:val="99"/>
    <w:pPr>
      <w:widowControl/>
      <w:spacing w:before="100" w:beforeAutospacing="1" w:after="100" w:afterAutospacing="1"/>
      <w:jc w:val="left"/>
    </w:pPr>
    <w:rPr>
      <w:rFonts w:ascii="??" w:hAnsi="??" w:cs="??"/>
      <w:kern w:val="0"/>
      <w:sz w:val="18"/>
      <w:szCs w:val="18"/>
    </w:rPr>
  </w:style>
  <w:style w:type="character" w:styleId="17">
    <w:name w:val="Strong"/>
    <w:basedOn w:val="16"/>
    <w:qFormat/>
    <w:uiPriority w:val="99"/>
    <w:rPr>
      <w:rFonts w:cs="Times New Roman"/>
      <w:b/>
    </w:rPr>
  </w:style>
  <w:style w:type="character" w:styleId="18">
    <w:name w:val="FollowedHyperlink"/>
    <w:basedOn w:val="16"/>
    <w:unhideWhenUsed/>
    <w:uiPriority w:val="99"/>
    <w:rPr>
      <w:color w:val="800080"/>
      <w:u w:val="single"/>
    </w:rPr>
  </w:style>
  <w:style w:type="character" w:styleId="19">
    <w:name w:val="Hyperlink"/>
    <w:basedOn w:val="16"/>
    <w:uiPriority w:val="99"/>
    <w:rPr>
      <w:rFonts w:cs="Times New Roman"/>
      <w:color w:val="000000"/>
      <w:u w:val="none"/>
    </w:rPr>
  </w:style>
  <w:style w:type="character" w:styleId="20">
    <w:name w:val="annotation reference"/>
    <w:basedOn w:val="16"/>
    <w:semiHidden/>
    <w:qFormat/>
    <w:uiPriority w:val="99"/>
    <w:rPr>
      <w:rFonts w:cs="Times New Roman"/>
      <w:sz w:val="21"/>
    </w:rPr>
  </w:style>
  <w:style w:type="table" w:styleId="22">
    <w:name w:val="Table Grid"/>
    <w:basedOn w:val="2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Light Shading Accent 4"/>
    <w:basedOn w:val="21"/>
    <w:qFormat/>
    <w:uiPriority w:val="60"/>
    <w:rPr>
      <w:rFonts w:asciiTheme="minorHAnsi" w:hAnsiTheme="minorHAnsi" w:eastAsiaTheme="minorEastAsia" w:cstheme="minorBidi"/>
      <w:color w:val="604A7B" w:themeColor="accent4" w:themeShade="BF"/>
      <w:kern w:val="2"/>
      <w:sz w:val="21"/>
      <w:szCs w:val="22"/>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24">
    <w:name w:val="Light List Accent 3"/>
    <w:basedOn w:val="21"/>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character" w:customStyle="1" w:styleId="25">
    <w:name w:val="标题 1 Char"/>
    <w:basedOn w:val="16"/>
    <w:link w:val="2"/>
    <w:qFormat/>
    <w:locked/>
    <w:uiPriority w:val="99"/>
    <w:rPr>
      <w:b/>
      <w:kern w:val="44"/>
      <w:sz w:val="44"/>
    </w:rPr>
  </w:style>
  <w:style w:type="character" w:customStyle="1" w:styleId="26">
    <w:name w:val="标题 3 Char"/>
    <w:basedOn w:val="16"/>
    <w:link w:val="4"/>
    <w:semiHidden/>
    <w:qFormat/>
    <w:locked/>
    <w:uiPriority w:val="99"/>
    <w:rPr>
      <w:b/>
      <w:sz w:val="32"/>
    </w:rPr>
  </w:style>
  <w:style w:type="character" w:customStyle="1" w:styleId="27">
    <w:name w:val="标题 4 Char"/>
    <w:basedOn w:val="16"/>
    <w:link w:val="5"/>
    <w:semiHidden/>
    <w:qFormat/>
    <w:locked/>
    <w:uiPriority w:val="99"/>
    <w:rPr>
      <w:rFonts w:ascii="Cambria" w:hAnsi="Cambria" w:eastAsia="宋体"/>
      <w:b/>
      <w:sz w:val="28"/>
    </w:rPr>
  </w:style>
  <w:style w:type="character" w:customStyle="1" w:styleId="28">
    <w:name w:val="标题 6 Char"/>
    <w:basedOn w:val="16"/>
    <w:link w:val="6"/>
    <w:semiHidden/>
    <w:locked/>
    <w:uiPriority w:val="99"/>
    <w:rPr>
      <w:rFonts w:ascii="Cambria" w:hAnsi="Cambria" w:eastAsia="宋体"/>
      <w:b/>
      <w:sz w:val="24"/>
    </w:rPr>
  </w:style>
  <w:style w:type="character" w:customStyle="1" w:styleId="29">
    <w:name w:val="纯文本 Char"/>
    <w:basedOn w:val="16"/>
    <w:link w:val="10"/>
    <w:locked/>
    <w:uiPriority w:val="0"/>
    <w:rPr>
      <w:rFonts w:ascii="宋体" w:hAnsi="Courier New"/>
      <w:sz w:val="21"/>
    </w:rPr>
  </w:style>
  <w:style w:type="character" w:customStyle="1" w:styleId="30">
    <w:name w:val="页眉 Char"/>
    <w:basedOn w:val="16"/>
    <w:link w:val="13"/>
    <w:semiHidden/>
    <w:locked/>
    <w:uiPriority w:val="99"/>
    <w:rPr>
      <w:sz w:val="18"/>
    </w:rPr>
  </w:style>
  <w:style w:type="character" w:customStyle="1" w:styleId="31">
    <w:name w:val="页脚 Char"/>
    <w:basedOn w:val="16"/>
    <w:link w:val="12"/>
    <w:locked/>
    <w:uiPriority w:val="99"/>
    <w:rPr>
      <w:sz w:val="18"/>
    </w:rPr>
  </w:style>
  <w:style w:type="character" w:customStyle="1" w:styleId="32">
    <w:name w:val="批注框文本 Char"/>
    <w:basedOn w:val="16"/>
    <w:link w:val="11"/>
    <w:qFormat/>
    <w:locked/>
    <w:uiPriority w:val="99"/>
    <w:rPr>
      <w:rFonts w:ascii="Tahoma" w:hAnsi="Tahoma"/>
      <w:kern w:val="2"/>
      <w:sz w:val="16"/>
    </w:rPr>
  </w:style>
  <w:style w:type="character" w:customStyle="1" w:styleId="33">
    <w:name w:val="批注文字 Char"/>
    <w:basedOn w:val="16"/>
    <w:link w:val="8"/>
    <w:semiHidden/>
    <w:locked/>
    <w:uiPriority w:val="99"/>
    <w:rPr>
      <w:sz w:val="21"/>
    </w:rPr>
  </w:style>
  <w:style w:type="character" w:customStyle="1" w:styleId="34">
    <w:name w:val="批注主题 Char"/>
    <w:basedOn w:val="33"/>
    <w:link w:val="7"/>
    <w:semiHidden/>
    <w:qFormat/>
    <w:locked/>
    <w:uiPriority w:val="99"/>
    <w:rPr>
      <w:b/>
      <w:sz w:val="21"/>
    </w:rPr>
  </w:style>
  <w:style w:type="character" w:customStyle="1" w:styleId="35">
    <w:name w:val="访问过的超链接1"/>
    <w:qFormat/>
    <w:uiPriority w:val="99"/>
    <w:rPr>
      <w:color w:val="800080"/>
      <w:u w:val="single"/>
    </w:rPr>
  </w:style>
  <w:style w:type="character" w:customStyle="1" w:styleId="36">
    <w:name w:val="正文文本缩进 3 Char"/>
    <w:basedOn w:val="16"/>
    <w:link w:val="14"/>
    <w:semiHidden/>
    <w:locked/>
    <w:uiPriority w:val="99"/>
    <w:rPr>
      <w:rFonts w:ascii="宋体" w:eastAsia="宋体"/>
      <w:kern w:val="2"/>
      <w:sz w:val="24"/>
    </w:rPr>
  </w:style>
  <w:style w:type="paragraph" w:customStyle="1" w:styleId="37">
    <w:name w:val="Default"/>
    <w:basedOn w:val="1"/>
    <w:uiPriority w:val="99"/>
    <w:pPr>
      <w:widowControl/>
      <w:autoSpaceDE w:val="0"/>
      <w:autoSpaceDN w:val="0"/>
      <w:jc w:val="left"/>
    </w:pPr>
    <w:rPr>
      <w:color w:val="000000"/>
      <w:kern w:val="0"/>
      <w:sz w:val="24"/>
      <w:szCs w:val="24"/>
    </w:rPr>
  </w:style>
  <w:style w:type="character" w:customStyle="1" w:styleId="38">
    <w:name w:val="正文文本缩进 Char"/>
    <w:basedOn w:val="16"/>
    <w:link w:val="9"/>
    <w:semiHidden/>
    <w:qFormat/>
    <w:locked/>
    <w:uiPriority w:val="99"/>
    <w:rPr>
      <w:kern w:val="2"/>
      <w:sz w:val="21"/>
    </w:rPr>
  </w:style>
  <w:style w:type="paragraph" w:customStyle="1" w:styleId="39">
    <w:name w:val="无间隔1"/>
    <w:uiPriority w:val="99"/>
    <w:rPr>
      <w:rFonts w:ascii="Calibri" w:hAnsi="Calibri" w:eastAsia="宋体" w:cs="Times New Roman"/>
      <w:sz w:val="22"/>
      <w:szCs w:val="22"/>
      <w:lang w:val="en-US" w:eastAsia="ja-JP" w:bidi="ar-SA"/>
    </w:rPr>
  </w:style>
  <w:style w:type="character" w:customStyle="1" w:styleId="40">
    <w:name w:val="apple-style-span"/>
    <w:basedOn w:val="16"/>
    <w:qFormat/>
    <w:uiPriority w:val="99"/>
    <w:rPr>
      <w:rFonts w:cs="Times New Roman"/>
    </w:rPr>
  </w:style>
  <w:style w:type="character" w:customStyle="1" w:styleId="41">
    <w:name w:val="apple-converted-space"/>
    <w:basedOn w:val="16"/>
    <w:uiPriority w:val="99"/>
    <w:rPr>
      <w:rFonts w:cs="Times New Roman"/>
    </w:rPr>
  </w:style>
  <w:style w:type="paragraph" w:customStyle="1" w:styleId="42">
    <w:name w:val="List Paragraph"/>
    <w:basedOn w:val="1"/>
    <w:qFormat/>
    <w:uiPriority w:val="34"/>
    <w:pPr>
      <w:ind w:firstLine="420" w:firstLineChars="200"/>
    </w:pPr>
    <w:rPr>
      <w:rFonts w:ascii="Calibri" w:hAnsi="Calibri"/>
      <w:szCs w:val="22"/>
    </w:rPr>
  </w:style>
  <w:style w:type="character" w:customStyle="1" w:styleId="43">
    <w:name w:val="标题 2 Char"/>
    <w:basedOn w:val="16"/>
    <w:link w:val="3"/>
    <w:uiPriority w:val="9"/>
    <w:rPr>
      <w:rFonts w:asciiTheme="majorHAnsi" w:hAnsiTheme="majorHAnsi" w:eastAsiaTheme="majorEastAsia" w:cstheme="majorBidi"/>
      <w:b/>
      <w:bCs/>
      <w:kern w:val="2"/>
      <w:sz w:val="32"/>
      <w:szCs w:val="32"/>
    </w:rPr>
  </w:style>
  <w:style w:type="character" w:customStyle="1" w:styleId="44">
    <w:name w:val="标题5+ 宋体五号 Char"/>
    <w:basedOn w:val="16"/>
    <w:link w:val="45"/>
    <w:uiPriority w:val="0"/>
    <w:rPr>
      <w:rFonts w:hAnsi="Arial" w:cs="宋体"/>
      <w:b/>
      <w:bCs/>
      <w:sz w:val="24"/>
      <w:szCs w:val="24"/>
    </w:rPr>
  </w:style>
  <w:style w:type="paragraph" w:customStyle="1" w:styleId="45">
    <w:name w:val="标题5+ 宋体五号"/>
    <w:next w:val="1"/>
    <w:link w:val="44"/>
    <w:qFormat/>
    <w:uiPriority w:val="0"/>
    <w:pPr>
      <w:spacing w:before="120" w:after="60"/>
    </w:pPr>
    <w:rPr>
      <w:rFonts w:ascii="Times New Roman" w:hAnsi="Arial" w:eastAsia="宋体" w:cs="宋体"/>
      <w:b/>
      <w:bCs/>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E84E49-CF5E-4823-8165-635A62AFC98B}">
  <ds:schemaRefs/>
</ds:datastoreItem>
</file>

<file path=docProps/app.xml><?xml version="1.0" encoding="utf-8"?>
<Properties xmlns="http://schemas.openxmlformats.org/officeDocument/2006/extended-properties" xmlns:vt="http://schemas.openxmlformats.org/officeDocument/2006/docPropsVTypes">
  <Template>Normal</Template>
  <Company>tsinghua</Company>
  <Pages>21</Pages>
  <Words>5016</Words>
  <Characters>28593</Characters>
  <Lines>238</Lines>
  <Paragraphs>67</Paragraphs>
  <ScaleCrop>false</ScaleCrop>
  <LinksUpToDate>false</LinksUpToDate>
  <CharactersWithSpaces>33542</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2015-09-17T00:57:00Z</dcterms:created>
  <dc:creator>user</dc:creator>
  <cp:lastModifiedBy>PC</cp:lastModifiedBy>
  <cp:lastPrinted>2016-02-25T06:47:00Z</cp:lastPrinted>
  <dcterms:modified xsi:type="dcterms:W3CDTF">2016-02-25T07:06:13Z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